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8B6" w:rsidRDefault="0094440B">
      <w:pPr>
        <w:pStyle w:val="Titre2"/>
        <w:ind w:left="3006"/>
      </w:pPr>
      <w:r>
        <w:t>Baccalauréat technologique</w:t>
      </w:r>
    </w:p>
    <w:p w:rsidR="002F28B6" w:rsidRDefault="0094440B">
      <w:pPr>
        <w:spacing w:before="118" w:line="360" w:lineRule="auto"/>
        <w:ind w:left="860" w:right="766"/>
        <w:jc w:val="center"/>
        <w:rPr>
          <w:rFonts w:ascii="Times New Roman"/>
          <w:b/>
          <w:sz w:val="36"/>
        </w:rPr>
      </w:pPr>
      <w:r>
        <w:rPr>
          <w:rFonts w:ascii="Times New Roman"/>
          <w:b/>
          <w:sz w:val="36"/>
        </w:rPr>
        <w:t>Sciences et technologies du management et de la gestion (STMG)</w:t>
      </w:r>
    </w:p>
    <w:p w:rsidR="002F28B6" w:rsidRDefault="002F28B6">
      <w:pPr>
        <w:pStyle w:val="Corpsdetexte"/>
        <w:rPr>
          <w:rFonts w:ascii="Times New Roman"/>
          <w:b/>
          <w:sz w:val="40"/>
        </w:rPr>
      </w:pPr>
    </w:p>
    <w:p w:rsidR="002F28B6" w:rsidRDefault="002F28B6">
      <w:pPr>
        <w:pStyle w:val="Corpsdetexte"/>
        <w:rPr>
          <w:rFonts w:ascii="Times New Roman"/>
          <w:b/>
          <w:sz w:val="40"/>
        </w:rPr>
      </w:pPr>
    </w:p>
    <w:p w:rsidR="002F28B6" w:rsidRDefault="002F28B6">
      <w:pPr>
        <w:pStyle w:val="Corpsdetexte"/>
        <w:rPr>
          <w:rFonts w:ascii="Times New Roman"/>
          <w:b/>
          <w:sz w:val="40"/>
        </w:rPr>
      </w:pPr>
    </w:p>
    <w:p w:rsidR="002F28B6" w:rsidRDefault="0094440B">
      <w:pPr>
        <w:spacing w:before="241"/>
        <w:ind w:left="860" w:right="761"/>
        <w:jc w:val="center"/>
        <w:rPr>
          <w:rFonts w:ascii="Times New Roman" w:hAnsi="Times New Roman"/>
          <w:b/>
          <w:sz w:val="48"/>
        </w:rPr>
      </w:pPr>
      <w:r>
        <w:rPr>
          <w:rFonts w:ascii="Times New Roman" w:hAnsi="Times New Roman"/>
          <w:b/>
          <w:sz w:val="48"/>
        </w:rPr>
        <w:t>Spécialité mercatique</w:t>
      </w:r>
    </w:p>
    <w:p w:rsidR="002F28B6" w:rsidRDefault="0094440B">
      <w:pPr>
        <w:pStyle w:val="Titre1"/>
        <w:spacing w:before="396"/>
      </w:pPr>
      <w:r>
        <w:t>SESSION 2016</w:t>
      </w:r>
    </w:p>
    <w:p w:rsidR="002F28B6" w:rsidRDefault="002F28B6">
      <w:pPr>
        <w:pStyle w:val="Corpsdetexte"/>
        <w:spacing w:before="4"/>
        <w:rPr>
          <w:rFonts w:ascii="Times New Roman"/>
          <w:b/>
          <w:sz w:val="44"/>
        </w:rPr>
      </w:pPr>
    </w:p>
    <w:p w:rsidR="002F28B6" w:rsidRDefault="0094440B">
      <w:pPr>
        <w:spacing w:before="1"/>
        <w:ind w:left="860" w:right="760"/>
        <w:jc w:val="center"/>
        <w:rPr>
          <w:rFonts w:ascii="Times New Roman" w:hAnsi="Times New Roman"/>
          <w:b/>
          <w:sz w:val="52"/>
        </w:rPr>
      </w:pPr>
      <w:r>
        <w:rPr>
          <w:rFonts w:ascii="Times New Roman" w:hAnsi="Times New Roman"/>
          <w:b/>
          <w:sz w:val="52"/>
        </w:rPr>
        <w:t>Épreuve de second groupe</w:t>
      </w:r>
    </w:p>
    <w:p w:rsidR="002F28B6" w:rsidRDefault="002F28B6">
      <w:pPr>
        <w:pStyle w:val="Corpsdetexte"/>
        <w:rPr>
          <w:rFonts w:ascii="Times New Roman"/>
          <w:b/>
          <w:sz w:val="58"/>
        </w:rPr>
      </w:pPr>
    </w:p>
    <w:p w:rsidR="002F28B6" w:rsidRDefault="0094440B">
      <w:pPr>
        <w:pStyle w:val="Titre1"/>
        <w:rPr>
          <w:rFonts w:ascii="Arial" w:hAnsi="Arial"/>
        </w:rPr>
      </w:pPr>
      <w:r>
        <w:rPr>
          <w:rFonts w:ascii="Arial" w:hAnsi="Arial"/>
        </w:rPr>
        <w:t>Sujet n° 1</w:t>
      </w:r>
    </w:p>
    <w:p w:rsidR="002F28B6" w:rsidRDefault="002F28B6">
      <w:pPr>
        <w:pStyle w:val="Corpsdetexte"/>
        <w:spacing w:before="5"/>
        <w:rPr>
          <w:b/>
          <w:sz w:val="60"/>
        </w:rPr>
      </w:pPr>
    </w:p>
    <w:p w:rsidR="002F28B6" w:rsidRDefault="0094440B">
      <w:pPr>
        <w:spacing w:line="343" w:lineRule="auto"/>
        <w:ind w:left="2108" w:right="2009"/>
        <w:jc w:val="center"/>
        <w:rPr>
          <w:rFonts w:ascii="Times New Roman" w:hAnsi="Times New Roman"/>
          <w:i/>
          <w:sz w:val="24"/>
        </w:rPr>
      </w:pPr>
      <w:r>
        <w:rPr>
          <w:rFonts w:ascii="Times New Roman" w:hAnsi="Times New Roman"/>
          <w:i/>
          <w:sz w:val="24"/>
        </w:rPr>
        <w:t>Durée : 40 minutes de préparation, 20 minutes d’interrogation Coefficient : 6</w:t>
      </w:r>
    </w:p>
    <w:p w:rsidR="002F28B6" w:rsidRDefault="002F28B6">
      <w:pPr>
        <w:pStyle w:val="Corpsdetexte"/>
        <w:rPr>
          <w:rFonts w:ascii="Times New Roman"/>
          <w:i/>
          <w:sz w:val="26"/>
        </w:rPr>
      </w:pPr>
    </w:p>
    <w:p w:rsidR="002F28B6" w:rsidRDefault="002F28B6">
      <w:pPr>
        <w:pStyle w:val="Corpsdetexte"/>
        <w:rPr>
          <w:rFonts w:ascii="Times New Roman"/>
          <w:i/>
          <w:sz w:val="26"/>
        </w:rPr>
      </w:pPr>
    </w:p>
    <w:p w:rsidR="002F28B6" w:rsidRDefault="002F28B6">
      <w:pPr>
        <w:pStyle w:val="Corpsdetexte"/>
        <w:rPr>
          <w:rFonts w:ascii="Times New Roman"/>
          <w:i/>
          <w:sz w:val="26"/>
        </w:rPr>
      </w:pPr>
    </w:p>
    <w:p w:rsidR="002F28B6" w:rsidRDefault="002F28B6">
      <w:pPr>
        <w:pStyle w:val="Corpsdetexte"/>
        <w:rPr>
          <w:rFonts w:ascii="Times New Roman"/>
          <w:i/>
          <w:sz w:val="26"/>
        </w:rPr>
      </w:pPr>
    </w:p>
    <w:p w:rsidR="002F28B6" w:rsidRDefault="002F28B6">
      <w:pPr>
        <w:pStyle w:val="Corpsdetexte"/>
        <w:rPr>
          <w:rFonts w:ascii="Times New Roman"/>
          <w:i/>
          <w:sz w:val="26"/>
        </w:rPr>
      </w:pPr>
    </w:p>
    <w:p w:rsidR="002F28B6" w:rsidRDefault="002F28B6">
      <w:pPr>
        <w:pStyle w:val="Corpsdetexte"/>
        <w:rPr>
          <w:rFonts w:ascii="Times New Roman"/>
          <w:i/>
          <w:sz w:val="26"/>
        </w:rPr>
      </w:pPr>
    </w:p>
    <w:p w:rsidR="002F28B6" w:rsidRDefault="002F28B6">
      <w:pPr>
        <w:pStyle w:val="Corpsdetexte"/>
        <w:rPr>
          <w:rFonts w:ascii="Times New Roman"/>
          <w:i/>
          <w:sz w:val="26"/>
        </w:rPr>
      </w:pPr>
    </w:p>
    <w:p w:rsidR="002F28B6" w:rsidRDefault="0094440B">
      <w:pPr>
        <w:spacing w:before="171"/>
        <w:ind w:left="312" w:right="213"/>
        <w:jc w:val="both"/>
        <w:rPr>
          <w:rFonts w:ascii="Times New Roman" w:hAnsi="Times New Roman"/>
          <w:i/>
          <w:sz w:val="24"/>
        </w:rPr>
      </w:pPr>
      <w:r>
        <w:rPr>
          <w:rFonts w:ascii="Times New Roman" w:hAnsi="Times New Roman"/>
          <w:i/>
          <w:sz w:val="24"/>
        </w:rPr>
        <w:t>Documents et matériels autorisés : l'usage d'une calculatrice de poche à fonctionnement autonome, sans imprimante et sans moyen de transmission, à l'exclusion de tout autre élément matériel ou documentaire, est autorisé.</w:t>
      </w:r>
    </w:p>
    <w:p w:rsidR="002F28B6" w:rsidRDefault="002F28B6">
      <w:pPr>
        <w:jc w:val="both"/>
        <w:rPr>
          <w:rFonts w:ascii="Times New Roman" w:hAnsi="Times New Roman"/>
          <w:sz w:val="24"/>
        </w:rPr>
        <w:sectPr w:rsidR="002F28B6">
          <w:footerReference w:type="default" r:id="rId8"/>
          <w:type w:val="continuous"/>
          <w:pgSz w:w="11910" w:h="16840"/>
          <w:pgMar w:top="1340" w:right="920" w:bottom="1300" w:left="820" w:header="720" w:footer="1100" w:gutter="0"/>
          <w:pgNumType w:start="1"/>
          <w:cols w:space="720"/>
        </w:sectPr>
      </w:pPr>
    </w:p>
    <w:p w:rsidR="002F28B6" w:rsidRDefault="0094440B">
      <w:pPr>
        <w:pStyle w:val="Corpsdetexte"/>
        <w:spacing w:before="76"/>
        <w:ind w:left="312" w:right="215"/>
        <w:jc w:val="both"/>
      </w:pPr>
      <w:r>
        <w:lastRenderedPageBreak/>
        <w:t>Le sujet proposé s’appuie sur une situation réelle d’entreprise, simplifiée et adaptée pour les besoins de l’épreuve. Pour des raisons évidentes de confidentialité, les données chiffrées et les éléments de la politique commerciale de l’entreprise ont pu être modifiés.</w:t>
      </w:r>
    </w:p>
    <w:p w:rsidR="002F28B6" w:rsidRDefault="002F28B6">
      <w:pPr>
        <w:pStyle w:val="Corpsdetexte"/>
        <w:rPr>
          <w:sz w:val="26"/>
        </w:rPr>
      </w:pPr>
    </w:p>
    <w:p w:rsidR="002F28B6" w:rsidRDefault="0094440B">
      <w:pPr>
        <w:pStyle w:val="Corpsdetexte"/>
        <w:spacing w:before="217"/>
        <w:ind w:left="312" w:right="219"/>
        <w:jc w:val="both"/>
      </w:pPr>
      <w:r>
        <w:t>À partir de vos connaissances et de la documentation fournie, vous traiterez les questions qui suivent en tenant compte du contexte et des contraintes définis dans le sujet.</w:t>
      </w:r>
    </w:p>
    <w:p w:rsidR="002F28B6" w:rsidRDefault="0094440B">
      <w:pPr>
        <w:pStyle w:val="Corpsdetexte"/>
        <w:spacing w:before="6"/>
        <w:rPr>
          <w:sz w:val="29"/>
        </w:rPr>
      </w:pPr>
      <w:r>
        <w:rPr>
          <w:noProof/>
        </w:rPr>
        <w:drawing>
          <wp:anchor distT="0" distB="0" distL="0" distR="0" simplePos="0" relativeHeight="251658240" behindDoc="0" locked="0" layoutInCell="1" allowOverlap="1">
            <wp:simplePos x="0" y="0"/>
            <wp:positionH relativeFrom="page">
              <wp:posOffset>3251555</wp:posOffset>
            </wp:positionH>
            <wp:positionV relativeFrom="paragraph">
              <wp:posOffset>240884</wp:posOffset>
            </wp:positionV>
            <wp:extent cx="1069500" cy="10424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69500" cy="1042416"/>
                    </a:xfrm>
                    <a:prstGeom prst="rect">
                      <a:avLst/>
                    </a:prstGeom>
                  </pic:spPr>
                </pic:pic>
              </a:graphicData>
            </a:graphic>
          </wp:anchor>
        </w:drawing>
      </w:r>
    </w:p>
    <w:p w:rsidR="002F28B6" w:rsidRDefault="002F28B6">
      <w:pPr>
        <w:pStyle w:val="Corpsdetexte"/>
        <w:rPr>
          <w:sz w:val="29"/>
        </w:rPr>
      </w:pPr>
    </w:p>
    <w:p w:rsidR="002F28B6" w:rsidRDefault="0094440B">
      <w:pPr>
        <w:ind w:left="312" w:right="209"/>
        <w:jc w:val="both"/>
        <w:rPr>
          <w:i/>
          <w:sz w:val="24"/>
        </w:rPr>
      </w:pPr>
      <w:r>
        <w:rPr>
          <w:i/>
          <w:sz w:val="24"/>
        </w:rPr>
        <w:t xml:space="preserve">Do </w:t>
      </w:r>
      <w:proofErr w:type="spellStart"/>
      <w:r>
        <w:rPr>
          <w:i/>
          <w:sz w:val="24"/>
        </w:rPr>
        <w:t>Eat</w:t>
      </w:r>
      <w:proofErr w:type="spellEnd"/>
      <w:r>
        <w:rPr>
          <w:i/>
          <w:sz w:val="24"/>
        </w:rPr>
        <w:t xml:space="preserve"> est née en 2013 de l’imagination de deux jeunes designers, Hélène </w:t>
      </w:r>
      <w:proofErr w:type="spellStart"/>
      <w:r>
        <w:rPr>
          <w:i/>
          <w:sz w:val="24"/>
        </w:rPr>
        <w:t>Hoyois</w:t>
      </w:r>
      <w:proofErr w:type="spellEnd"/>
      <w:r>
        <w:rPr>
          <w:i/>
          <w:sz w:val="24"/>
        </w:rPr>
        <w:t xml:space="preserve"> et Thibault </w:t>
      </w:r>
      <w:proofErr w:type="spellStart"/>
      <w:r>
        <w:rPr>
          <w:i/>
          <w:sz w:val="24"/>
        </w:rPr>
        <w:t>Gilquin</w:t>
      </w:r>
      <w:proofErr w:type="spellEnd"/>
      <w:r>
        <w:rPr>
          <w:i/>
          <w:sz w:val="24"/>
        </w:rPr>
        <w:t>, tous deux issus de l’École Supérieure des Arts en Belgique. Le duo, dont l’un est spécialisé en web design</w:t>
      </w:r>
      <w:r w:rsidR="00C331FD">
        <w:rPr>
          <w:rStyle w:val="Appelnotedebasdep"/>
          <w:i/>
          <w:sz w:val="24"/>
        </w:rPr>
        <w:footnoteReference w:id="1"/>
      </w:r>
      <w:r>
        <w:rPr>
          <w:i/>
          <w:position w:val="7"/>
          <w:sz w:val="16"/>
        </w:rPr>
        <w:t xml:space="preserve"> </w:t>
      </w:r>
      <w:r>
        <w:rPr>
          <w:i/>
          <w:sz w:val="24"/>
        </w:rPr>
        <w:t>et l’autre en architecture d’intérieur, a créé des verrines entièrement comestibles, à base d’eau et de fécule de pomme de terre. Leur plus grand souhait ? Amener les consommateurs à changer de comportement en matière de déchets sans que ceux-ci ne s’en aperçoivent. Et avec plaisir en prime !</w:t>
      </w:r>
    </w:p>
    <w:p w:rsidR="002F28B6" w:rsidRDefault="0094440B">
      <w:pPr>
        <w:ind w:left="312"/>
        <w:rPr>
          <w:i/>
          <w:sz w:val="24"/>
        </w:rPr>
      </w:pPr>
      <w:r>
        <w:rPr>
          <w:i/>
          <w:sz w:val="24"/>
        </w:rPr>
        <w:t xml:space="preserve">Do </w:t>
      </w:r>
      <w:proofErr w:type="spellStart"/>
      <w:r>
        <w:rPr>
          <w:i/>
          <w:sz w:val="24"/>
        </w:rPr>
        <w:t>Eat</w:t>
      </w:r>
      <w:proofErr w:type="spellEnd"/>
      <w:r>
        <w:rPr>
          <w:i/>
          <w:sz w:val="24"/>
        </w:rPr>
        <w:t xml:space="preserve"> se développe rapidement sur le marché et saisit toutes les opportunités.</w:t>
      </w:r>
    </w:p>
    <w:p w:rsidR="002F28B6" w:rsidRDefault="002F28B6">
      <w:pPr>
        <w:pStyle w:val="Corpsdetexte"/>
        <w:spacing w:before="7"/>
        <w:rPr>
          <w:i/>
          <w:sz w:val="31"/>
        </w:rPr>
      </w:pPr>
    </w:p>
    <w:p w:rsidR="002F28B6" w:rsidRDefault="002C0273" w:rsidP="00602011">
      <w:pPr>
        <w:pStyle w:val="Titre3"/>
        <w:numPr>
          <w:ilvl w:val="1"/>
          <w:numId w:val="4"/>
        </w:numPr>
        <w:tabs>
          <w:tab w:val="left" w:pos="1021"/>
        </w:tabs>
        <w:spacing w:after="120"/>
        <w:ind w:left="1094" w:hanging="810"/>
      </w:pPr>
      <w:r>
        <w:t xml:space="preserve"> </w:t>
      </w:r>
      <w:r w:rsidR="0094440B">
        <w:t>Caractérisez le positionnement des verrines de l’entreprise Do</w:t>
      </w:r>
      <w:r w:rsidR="0094440B">
        <w:rPr>
          <w:spacing w:val="-9"/>
        </w:rPr>
        <w:t xml:space="preserve"> </w:t>
      </w:r>
      <w:proofErr w:type="spellStart"/>
      <w:r w:rsidR="0094440B">
        <w:t>Eat</w:t>
      </w:r>
      <w:proofErr w:type="spellEnd"/>
      <w:r w:rsidR="0094440B">
        <w:t>.</w:t>
      </w:r>
    </w:p>
    <w:p w:rsidR="002F28B6" w:rsidRDefault="002C0273" w:rsidP="00602011">
      <w:pPr>
        <w:pStyle w:val="Titre3"/>
        <w:numPr>
          <w:ilvl w:val="1"/>
          <w:numId w:val="4"/>
        </w:numPr>
        <w:tabs>
          <w:tab w:val="left" w:pos="1021"/>
        </w:tabs>
        <w:spacing w:after="120"/>
        <w:ind w:left="1094" w:hanging="810"/>
      </w:pPr>
      <w:r>
        <w:t xml:space="preserve"> </w:t>
      </w:r>
      <w:r w:rsidR="0094440B" w:rsidRPr="002C0273">
        <w:t>Expliquez en quoi la loi sur la transition énergique constitue une opportunité de croissance pour Do</w:t>
      </w:r>
      <w:r w:rsidR="0094440B" w:rsidRPr="002C0273">
        <w:rPr>
          <w:spacing w:val="-1"/>
        </w:rPr>
        <w:t xml:space="preserve"> </w:t>
      </w:r>
      <w:proofErr w:type="spellStart"/>
      <w:r w:rsidR="0094440B" w:rsidRPr="002C0273">
        <w:t>Eat</w:t>
      </w:r>
      <w:proofErr w:type="spellEnd"/>
      <w:r w:rsidR="0094440B" w:rsidRPr="002C0273">
        <w:t>.</w:t>
      </w:r>
    </w:p>
    <w:p w:rsidR="002F28B6" w:rsidRDefault="002C0273" w:rsidP="00602011">
      <w:pPr>
        <w:pStyle w:val="Titre3"/>
        <w:numPr>
          <w:ilvl w:val="1"/>
          <w:numId w:val="4"/>
        </w:numPr>
        <w:tabs>
          <w:tab w:val="left" w:pos="1021"/>
        </w:tabs>
        <w:spacing w:after="120"/>
        <w:ind w:left="1094" w:hanging="810"/>
      </w:pPr>
      <w:r>
        <w:t xml:space="preserve"> </w:t>
      </w:r>
      <w:r w:rsidR="0094440B" w:rsidRPr="002C0273">
        <w:t>Identifiez les composantes de l’offre globale Do</w:t>
      </w:r>
      <w:r w:rsidR="0094440B" w:rsidRPr="002C0273">
        <w:rPr>
          <w:spacing w:val="-3"/>
        </w:rPr>
        <w:t xml:space="preserve"> </w:t>
      </w:r>
      <w:proofErr w:type="spellStart"/>
      <w:r w:rsidR="0094440B" w:rsidRPr="002C0273">
        <w:t>Eat</w:t>
      </w:r>
      <w:proofErr w:type="spellEnd"/>
      <w:r w:rsidR="0094440B" w:rsidRPr="002C0273">
        <w:t>.</w:t>
      </w:r>
    </w:p>
    <w:p w:rsidR="002F28B6" w:rsidRDefault="002C0273" w:rsidP="00602011">
      <w:pPr>
        <w:pStyle w:val="Titre3"/>
        <w:numPr>
          <w:ilvl w:val="1"/>
          <w:numId w:val="4"/>
        </w:numPr>
        <w:tabs>
          <w:tab w:val="left" w:pos="1021"/>
        </w:tabs>
        <w:spacing w:after="120"/>
        <w:ind w:left="1094" w:hanging="810"/>
      </w:pPr>
      <w:r>
        <w:t xml:space="preserve"> </w:t>
      </w:r>
      <w:r w:rsidR="0094440B" w:rsidRPr="002C0273">
        <w:t xml:space="preserve">Identifiez les objectifs de l’action de communication de Do </w:t>
      </w:r>
      <w:proofErr w:type="spellStart"/>
      <w:r w:rsidR="0094440B" w:rsidRPr="002C0273">
        <w:t>Eat</w:t>
      </w:r>
      <w:proofErr w:type="spellEnd"/>
      <w:r w:rsidR="0094440B" w:rsidRPr="002C0273">
        <w:t xml:space="preserve"> sur sa page Facebook, puis appréciez la cohérence de cette action de communication avec le positionnement de Do </w:t>
      </w:r>
      <w:proofErr w:type="spellStart"/>
      <w:r w:rsidR="0094440B" w:rsidRPr="002C0273">
        <w:t>Eat</w:t>
      </w:r>
      <w:proofErr w:type="spellEnd"/>
      <w:r w:rsidR="0094440B" w:rsidRPr="002C0273">
        <w:t>.</w:t>
      </w:r>
    </w:p>
    <w:p w:rsidR="002F28B6" w:rsidRDefault="002C0273" w:rsidP="00602011">
      <w:pPr>
        <w:pStyle w:val="Titre3"/>
        <w:numPr>
          <w:ilvl w:val="1"/>
          <w:numId w:val="4"/>
        </w:numPr>
        <w:tabs>
          <w:tab w:val="left" w:pos="1021"/>
        </w:tabs>
        <w:spacing w:after="120"/>
        <w:ind w:left="1094" w:hanging="810"/>
      </w:pPr>
      <w:r>
        <w:t xml:space="preserve"> </w:t>
      </w:r>
      <w:r w:rsidR="0094440B" w:rsidRPr="002C0273">
        <w:t xml:space="preserve">Déterminez à partir de combien de paquets de verrines Do </w:t>
      </w:r>
      <w:proofErr w:type="spellStart"/>
      <w:r w:rsidR="0094440B" w:rsidRPr="002C0273">
        <w:t>Eat</w:t>
      </w:r>
      <w:proofErr w:type="spellEnd"/>
      <w:r w:rsidR="0094440B" w:rsidRPr="002C0273">
        <w:t xml:space="preserve"> vendus l’entreprise rentabilisera sa participation au salon saveurs. Concluez sur l’intérêt de la participation.</w:t>
      </w:r>
    </w:p>
    <w:p w:rsidR="002F28B6" w:rsidRPr="002C0273" w:rsidRDefault="002C0273" w:rsidP="00602011">
      <w:pPr>
        <w:pStyle w:val="Titre3"/>
        <w:numPr>
          <w:ilvl w:val="1"/>
          <w:numId w:val="4"/>
        </w:numPr>
        <w:tabs>
          <w:tab w:val="left" w:pos="1021"/>
        </w:tabs>
        <w:spacing w:after="120"/>
        <w:ind w:left="1094" w:hanging="810"/>
      </w:pPr>
      <w:r>
        <w:t xml:space="preserve"> </w:t>
      </w:r>
      <w:r w:rsidR="0094440B" w:rsidRPr="002C0273">
        <w:t>Dans quelle mesure un positionnement durable influence-t-il la valeur perçue par le consommateur ?</w:t>
      </w:r>
    </w:p>
    <w:p w:rsidR="002F28B6" w:rsidRDefault="002F28B6">
      <w:pPr>
        <w:pStyle w:val="Corpsdetexte"/>
        <w:rPr>
          <w:b/>
          <w:sz w:val="20"/>
        </w:rPr>
      </w:pPr>
    </w:p>
    <w:p w:rsidR="002F28B6" w:rsidRDefault="002F28B6">
      <w:pPr>
        <w:pStyle w:val="Corpsdetexte"/>
        <w:rPr>
          <w:b/>
          <w:sz w:val="20"/>
        </w:rPr>
      </w:pPr>
    </w:p>
    <w:p w:rsidR="002F28B6" w:rsidRDefault="002F28B6">
      <w:pPr>
        <w:pStyle w:val="Corpsdetexte"/>
        <w:rPr>
          <w:b/>
          <w:sz w:val="20"/>
        </w:rPr>
      </w:pPr>
    </w:p>
    <w:p w:rsidR="002F28B6" w:rsidRDefault="002F28B6">
      <w:pPr>
        <w:pStyle w:val="Corpsdetexte"/>
        <w:rPr>
          <w:b/>
          <w:sz w:val="20"/>
        </w:rPr>
      </w:pPr>
    </w:p>
    <w:p w:rsidR="002F28B6" w:rsidRDefault="002F28B6">
      <w:pPr>
        <w:pStyle w:val="Corpsdetexte"/>
        <w:rPr>
          <w:b/>
          <w:sz w:val="20"/>
        </w:rPr>
      </w:pPr>
    </w:p>
    <w:p w:rsidR="002F28B6" w:rsidRDefault="002F28B6">
      <w:pPr>
        <w:pStyle w:val="Corpsdetexte"/>
        <w:rPr>
          <w:b/>
          <w:sz w:val="20"/>
        </w:rPr>
      </w:pPr>
    </w:p>
    <w:p w:rsidR="002F28B6" w:rsidRDefault="002F28B6">
      <w:pPr>
        <w:pStyle w:val="Corpsdetexte"/>
        <w:rPr>
          <w:b/>
          <w:sz w:val="20"/>
        </w:rPr>
      </w:pPr>
    </w:p>
    <w:p w:rsidR="002F28B6" w:rsidRDefault="002F28B6">
      <w:pPr>
        <w:pStyle w:val="Corpsdetexte"/>
        <w:rPr>
          <w:b/>
          <w:sz w:val="20"/>
        </w:rPr>
      </w:pPr>
    </w:p>
    <w:p w:rsidR="002F28B6" w:rsidRDefault="002F28B6">
      <w:pPr>
        <w:pStyle w:val="Corpsdetexte"/>
        <w:rPr>
          <w:b/>
          <w:sz w:val="20"/>
        </w:rPr>
      </w:pPr>
    </w:p>
    <w:p w:rsidR="002F28B6" w:rsidRDefault="002F28B6">
      <w:pPr>
        <w:pStyle w:val="Corpsdetexte"/>
        <w:spacing w:before="8"/>
        <w:rPr>
          <w:b/>
          <w:sz w:val="25"/>
        </w:rPr>
      </w:pPr>
    </w:p>
    <w:p w:rsidR="002F28B6" w:rsidRDefault="002F28B6">
      <w:pPr>
        <w:rPr>
          <w:sz w:val="20"/>
        </w:rPr>
        <w:sectPr w:rsidR="002F28B6">
          <w:pgSz w:w="11910" w:h="16840"/>
          <w:pgMar w:top="1320" w:right="920" w:bottom="1300" w:left="820" w:header="0" w:footer="1100" w:gutter="0"/>
          <w:cols w:space="720"/>
        </w:sectPr>
      </w:pPr>
    </w:p>
    <w:p w:rsidR="00A001A7" w:rsidRDefault="00A001A7" w:rsidP="00A001A7">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lastRenderedPageBreak/>
        <w:t>Annexe 1 : Une vaisselle à dévorer</w:t>
      </w:r>
    </w:p>
    <w:p w:rsidR="002F28B6" w:rsidRDefault="002F28B6">
      <w:pPr>
        <w:pStyle w:val="Corpsdetexte"/>
        <w:ind w:left="195"/>
        <w:rPr>
          <w:sz w:val="20"/>
        </w:rPr>
      </w:pPr>
    </w:p>
    <w:p w:rsidR="002F28B6" w:rsidRDefault="002F28B6">
      <w:pPr>
        <w:pStyle w:val="Corpsdetexte"/>
        <w:spacing w:before="4"/>
        <w:rPr>
          <w:sz w:val="7"/>
        </w:rPr>
      </w:pPr>
    </w:p>
    <w:p w:rsidR="002F28B6" w:rsidRDefault="0094440B">
      <w:pPr>
        <w:pStyle w:val="Corpsdetexte"/>
        <w:ind w:left="313"/>
        <w:rPr>
          <w:sz w:val="20"/>
        </w:rPr>
      </w:pPr>
      <w:r>
        <w:rPr>
          <w:noProof/>
          <w:sz w:val="20"/>
        </w:rPr>
        <w:drawing>
          <wp:inline distT="0" distB="0" distL="0" distR="0">
            <wp:extent cx="6047125" cy="18166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047125" cy="1816607"/>
                    </a:xfrm>
                    <a:prstGeom prst="rect">
                      <a:avLst/>
                    </a:prstGeom>
                  </pic:spPr>
                </pic:pic>
              </a:graphicData>
            </a:graphic>
          </wp:inline>
        </w:drawing>
      </w:r>
    </w:p>
    <w:p w:rsidR="005E5AC6" w:rsidRDefault="005E5AC6">
      <w:pPr>
        <w:pStyle w:val="Corpsdetexte"/>
        <w:ind w:left="313"/>
        <w:rPr>
          <w:sz w:val="20"/>
        </w:rPr>
      </w:pPr>
    </w:p>
    <w:p w:rsidR="002F28B6" w:rsidRDefault="0094440B">
      <w:pPr>
        <w:spacing w:before="2"/>
        <w:ind w:left="312" w:right="210"/>
        <w:jc w:val="both"/>
        <w:rPr>
          <w:sz w:val="24"/>
        </w:rPr>
      </w:pPr>
      <w:r>
        <w:rPr>
          <w:sz w:val="24"/>
        </w:rPr>
        <w:t xml:space="preserve">« </w:t>
      </w:r>
      <w:r>
        <w:rPr>
          <w:i/>
          <w:sz w:val="24"/>
        </w:rPr>
        <w:t xml:space="preserve">Et si on inventait la vaisselle comestible ? </w:t>
      </w:r>
      <w:r>
        <w:rPr>
          <w:sz w:val="24"/>
        </w:rPr>
        <w:t xml:space="preserve">» a lancé Hélène devant la quantité de déchets plastiques gisant après un festival. Ainsi a débuté l’aventure. Hélène </w:t>
      </w:r>
      <w:proofErr w:type="spellStart"/>
      <w:r>
        <w:rPr>
          <w:sz w:val="24"/>
        </w:rPr>
        <w:t>Hoyois</w:t>
      </w:r>
      <w:proofErr w:type="spellEnd"/>
      <w:r>
        <w:rPr>
          <w:sz w:val="24"/>
        </w:rPr>
        <w:t xml:space="preserve"> et Thibaut </w:t>
      </w:r>
      <w:proofErr w:type="spellStart"/>
      <w:r>
        <w:rPr>
          <w:sz w:val="24"/>
        </w:rPr>
        <w:t>Gilquin</w:t>
      </w:r>
      <w:proofErr w:type="spellEnd"/>
      <w:r>
        <w:rPr>
          <w:sz w:val="24"/>
        </w:rPr>
        <w:t xml:space="preserve"> ont créé et commercialisé les premières verrines comestibles sous le nom de Do </w:t>
      </w:r>
      <w:proofErr w:type="spellStart"/>
      <w:r>
        <w:rPr>
          <w:sz w:val="24"/>
        </w:rPr>
        <w:t>Eat</w:t>
      </w:r>
      <w:proofErr w:type="spellEnd"/>
      <w:r>
        <w:rPr>
          <w:sz w:val="24"/>
        </w:rPr>
        <w:t xml:space="preserve">. « </w:t>
      </w:r>
      <w:r>
        <w:rPr>
          <w:i/>
          <w:sz w:val="24"/>
        </w:rPr>
        <w:t xml:space="preserve">Et nous avons la certification bio depuis le mois d’août </w:t>
      </w:r>
      <w:r>
        <w:rPr>
          <w:sz w:val="24"/>
        </w:rPr>
        <w:t>», précise</w:t>
      </w:r>
      <w:r>
        <w:rPr>
          <w:spacing w:val="-27"/>
          <w:sz w:val="24"/>
        </w:rPr>
        <w:t xml:space="preserve"> </w:t>
      </w:r>
      <w:r>
        <w:rPr>
          <w:sz w:val="24"/>
        </w:rPr>
        <w:t>Thibaut.</w:t>
      </w:r>
    </w:p>
    <w:p w:rsidR="002F28B6" w:rsidRDefault="0094440B">
      <w:pPr>
        <w:ind w:left="312" w:right="211"/>
        <w:jc w:val="both"/>
        <w:rPr>
          <w:sz w:val="24"/>
        </w:rPr>
      </w:pPr>
      <w:r>
        <w:rPr>
          <w:sz w:val="24"/>
        </w:rPr>
        <w:t>Fondée en 2013, cette start-up</w:t>
      </w:r>
      <w:r w:rsidR="008F34D7">
        <w:rPr>
          <w:rStyle w:val="Appelnotedebasdep"/>
          <w:sz w:val="24"/>
        </w:rPr>
        <w:footnoteReference w:id="2"/>
      </w:r>
      <w:r>
        <w:rPr>
          <w:position w:val="8"/>
          <w:sz w:val="16"/>
        </w:rPr>
        <w:t xml:space="preserve"> </w:t>
      </w:r>
      <w:r>
        <w:rPr>
          <w:sz w:val="24"/>
        </w:rPr>
        <w:t>belge gravit les échelons du succès. Outre trois emplois créés, 250 000 de ces verrines ont déjà été écoulées en Belgique et en France. Le projet est soutenu par le Chef doublement étoilé Sang-</w:t>
      </w:r>
      <w:proofErr w:type="spellStart"/>
      <w:r>
        <w:rPr>
          <w:sz w:val="24"/>
        </w:rPr>
        <w:t>Hoon</w:t>
      </w:r>
      <w:proofErr w:type="spellEnd"/>
      <w:r>
        <w:rPr>
          <w:sz w:val="24"/>
        </w:rPr>
        <w:t xml:space="preserve"> </w:t>
      </w:r>
      <w:proofErr w:type="spellStart"/>
      <w:r>
        <w:rPr>
          <w:sz w:val="24"/>
        </w:rPr>
        <w:t>Degeimbre</w:t>
      </w:r>
      <w:proofErr w:type="spellEnd"/>
      <w:r>
        <w:rPr>
          <w:sz w:val="24"/>
        </w:rPr>
        <w:t xml:space="preserve">. Prochaine étape, la fabrication à large échelle de prototypes d’assiettes et de bols comestibles. « </w:t>
      </w:r>
      <w:r>
        <w:rPr>
          <w:i/>
          <w:sz w:val="24"/>
        </w:rPr>
        <w:t>L’épaisseur de nos contenants n’excède pas un millimètre. Malgré cela, ils parviennent à supporter des aliments froids et chauds grâce à un imperméabilisant naturel de notre invention. Ils ont même brillamment passé le test de la soupe chaude aux tomates, le pire aliment en termes d’acidité</w:t>
      </w:r>
      <w:r>
        <w:rPr>
          <w:sz w:val="24"/>
        </w:rPr>
        <w:t xml:space="preserve">, indique Thibaut </w:t>
      </w:r>
      <w:proofErr w:type="spellStart"/>
      <w:r>
        <w:rPr>
          <w:sz w:val="24"/>
        </w:rPr>
        <w:t>Gilquin</w:t>
      </w:r>
      <w:proofErr w:type="spellEnd"/>
      <w:r>
        <w:rPr>
          <w:sz w:val="24"/>
        </w:rPr>
        <w:t xml:space="preserve">. </w:t>
      </w:r>
      <w:r>
        <w:rPr>
          <w:i/>
          <w:sz w:val="24"/>
        </w:rPr>
        <w:t>C’est toute la vaisselle qu’on veut repenser</w:t>
      </w:r>
      <w:r>
        <w:rPr>
          <w:i/>
          <w:spacing w:val="-22"/>
          <w:sz w:val="24"/>
        </w:rPr>
        <w:t xml:space="preserve"> </w:t>
      </w:r>
      <w:r>
        <w:rPr>
          <w:sz w:val="24"/>
        </w:rPr>
        <w:t>».</w:t>
      </w:r>
    </w:p>
    <w:p w:rsidR="002F28B6" w:rsidRDefault="002F28B6">
      <w:pPr>
        <w:pStyle w:val="Corpsdetexte"/>
        <w:spacing w:before="8"/>
        <w:rPr>
          <w:sz w:val="20"/>
        </w:rPr>
      </w:pPr>
    </w:p>
    <w:p w:rsidR="002F28B6" w:rsidRDefault="0094440B">
      <w:pPr>
        <w:pStyle w:val="Corpsdetexte"/>
        <w:ind w:right="212"/>
        <w:jc w:val="right"/>
      </w:pPr>
      <w:r>
        <w:t>Source : Le Vif</w:t>
      </w:r>
    </w:p>
    <w:p w:rsidR="002F28B6" w:rsidRDefault="002F28B6">
      <w:pPr>
        <w:pStyle w:val="Corpsdetexte"/>
        <w:spacing w:before="10"/>
        <w:rPr>
          <w:sz w:val="17"/>
        </w:rPr>
      </w:pPr>
    </w:p>
    <w:p w:rsidR="00A001A7" w:rsidRDefault="00A001A7" w:rsidP="00A001A7">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t>Annexe 2 : « On ne fait plus la vaisselle, on la mange ! »</w:t>
      </w:r>
    </w:p>
    <w:p w:rsidR="002F28B6" w:rsidRDefault="002F28B6">
      <w:pPr>
        <w:pStyle w:val="Corpsdetexte"/>
        <w:spacing w:before="10"/>
        <w:rPr>
          <w:sz w:val="9"/>
        </w:rPr>
      </w:pPr>
    </w:p>
    <w:p w:rsidR="002F28B6" w:rsidRDefault="0094440B">
      <w:pPr>
        <w:pStyle w:val="Corpsdetexte"/>
        <w:spacing w:before="93"/>
        <w:ind w:left="312" w:right="211"/>
        <w:jc w:val="both"/>
      </w:pPr>
      <w:r>
        <w:t xml:space="preserve">La recette des verrines 100 % consommables est gardée secrète. Elle est assez complexe et les machines sont brevetées pour éloigner les copieurs. La firme américaine McCain s’y est d’ailleurs cassée les dents en essayant de reproduire l’idée. Pas question non plus    de savoir qui, de la </w:t>
      </w:r>
      <w:r>
        <w:rPr>
          <w:i/>
        </w:rPr>
        <w:t xml:space="preserve">Charlotte </w:t>
      </w:r>
      <w:r>
        <w:t xml:space="preserve">ou de la </w:t>
      </w:r>
      <w:r>
        <w:rPr>
          <w:i/>
        </w:rPr>
        <w:t>Belle de Fontenay</w:t>
      </w:r>
      <w:r w:rsidR="008F34D7">
        <w:rPr>
          <w:rStyle w:val="Appelnotedebasdep"/>
          <w:i/>
        </w:rPr>
        <w:footnoteReference w:id="3"/>
      </w:r>
      <w:r>
        <w:t>, offre les meilleures fécules</w:t>
      </w:r>
      <w:r>
        <w:rPr>
          <w:spacing w:val="25"/>
        </w:rPr>
        <w:t xml:space="preserve"> </w:t>
      </w:r>
      <w:r>
        <w:t>:</w:t>
      </w:r>
    </w:p>
    <w:p w:rsidR="002F28B6" w:rsidRDefault="0094440B">
      <w:pPr>
        <w:pStyle w:val="Corpsdetexte"/>
        <w:ind w:left="312" w:right="210"/>
        <w:jc w:val="both"/>
      </w:pPr>
      <w:r>
        <w:t xml:space="preserve">« </w:t>
      </w:r>
      <w:r>
        <w:rPr>
          <w:i/>
        </w:rPr>
        <w:t xml:space="preserve">C’est notre secret </w:t>
      </w:r>
      <w:r>
        <w:t xml:space="preserve">», se contentent de dire les deux ingénieux designers. Les petits contenants de Do </w:t>
      </w:r>
      <w:proofErr w:type="spellStart"/>
      <w:r>
        <w:t>Eat</w:t>
      </w:r>
      <w:proofErr w:type="spellEnd"/>
      <w:r>
        <w:t xml:space="preserve"> ont plusieurs formes – cuillère, pirogue ou tulipe – et sont imperméabilisés à l’intérieur. Dans la verrine, les liquides peuvent tenir vingt-quatre heures sans ramollir le contenant, ce qui permet de les préparer la veille. Le goût, neutre, prendra le parfum de ce qu’on y mettra à l’intérieur et le produit est conçu pour disparaître au contact de la salive.</w:t>
      </w:r>
    </w:p>
    <w:p w:rsidR="002F28B6" w:rsidRDefault="0094440B">
      <w:pPr>
        <w:pStyle w:val="Corpsdetexte"/>
        <w:spacing w:before="1"/>
        <w:ind w:left="312" w:right="210"/>
        <w:jc w:val="both"/>
      </w:pPr>
      <w:r>
        <w:t xml:space="preserve">Depuis, la petite entreprise d’Hélène et Thibault (60 000 euros de chiffre d’affaires en 2014) vend ses produits comme des petits pains, en Belgique, en France, au Liban… Et d’autres marchés comme ceux du Canada et des Émirats commencent à s’ouvrir. Début 2016, Do </w:t>
      </w:r>
      <w:proofErr w:type="spellStart"/>
      <w:r>
        <w:t>Eat</w:t>
      </w:r>
      <w:proofErr w:type="spellEnd"/>
      <w:r>
        <w:t xml:space="preserve"> devrait aussi produire des assiettes et des gobelets. Bon timing : l’Assemblée Nationale française vient de voter via la loi sur la transition énergétique l’interdiction de la vaisselle en plastique pour</w:t>
      </w:r>
      <w:r>
        <w:rPr>
          <w:spacing w:val="-8"/>
        </w:rPr>
        <w:t xml:space="preserve"> </w:t>
      </w:r>
      <w:r>
        <w:t>2020.</w:t>
      </w:r>
    </w:p>
    <w:p w:rsidR="002F28B6" w:rsidRDefault="002F28B6">
      <w:pPr>
        <w:pStyle w:val="Corpsdetexte"/>
        <w:spacing w:before="2"/>
      </w:pPr>
    </w:p>
    <w:p w:rsidR="002F28B6" w:rsidRDefault="0094440B">
      <w:pPr>
        <w:pStyle w:val="Corpsdetexte"/>
        <w:ind w:right="210"/>
        <w:jc w:val="right"/>
      </w:pPr>
      <w:r>
        <w:t>Source : nouvelobs.com</w:t>
      </w:r>
    </w:p>
    <w:p w:rsidR="002F28B6" w:rsidRDefault="002F28B6">
      <w:pPr>
        <w:rPr>
          <w:sz w:val="20"/>
        </w:rPr>
        <w:sectPr w:rsidR="002F28B6" w:rsidSect="005E5AC6">
          <w:pgSz w:w="11910" w:h="16840"/>
          <w:pgMar w:top="993" w:right="920" w:bottom="1300" w:left="820" w:header="0" w:footer="1100" w:gutter="0"/>
          <w:cols w:space="720"/>
        </w:sectPr>
      </w:pPr>
    </w:p>
    <w:p w:rsidR="008130E8" w:rsidRDefault="008130E8" w:rsidP="008130E8">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lastRenderedPageBreak/>
        <w:t>Annexe 3 : Un site internet complet</w:t>
      </w:r>
    </w:p>
    <w:p w:rsidR="002F28B6" w:rsidRDefault="002F28B6">
      <w:pPr>
        <w:pStyle w:val="Corpsdetexte"/>
        <w:ind w:left="195"/>
        <w:rPr>
          <w:sz w:val="20"/>
        </w:rPr>
      </w:pPr>
    </w:p>
    <w:p w:rsidR="002F28B6" w:rsidRDefault="002F28B6">
      <w:pPr>
        <w:pStyle w:val="Corpsdetexte"/>
        <w:spacing w:before="6"/>
        <w:rPr>
          <w:sz w:val="9"/>
        </w:rPr>
      </w:pPr>
    </w:p>
    <w:p w:rsidR="002F28B6" w:rsidRDefault="0094440B">
      <w:pPr>
        <w:pStyle w:val="Corpsdetexte"/>
        <w:spacing w:before="92"/>
        <w:ind w:left="5121" w:right="209"/>
        <w:jc w:val="both"/>
      </w:pPr>
      <w:r>
        <w:rPr>
          <w:noProof/>
        </w:rPr>
        <w:drawing>
          <wp:anchor distT="0" distB="0" distL="0" distR="0" simplePos="0" relativeHeight="1240" behindDoc="0" locked="0" layoutInCell="1" allowOverlap="1">
            <wp:simplePos x="0" y="0"/>
            <wp:positionH relativeFrom="page">
              <wp:posOffset>704850</wp:posOffset>
            </wp:positionH>
            <wp:positionV relativeFrom="paragraph">
              <wp:posOffset>92519</wp:posOffset>
            </wp:positionV>
            <wp:extent cx="2952115" cy="9439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952115" cy="943956"/>
                    </a:xfrm>
                    <a:prstGeom prst="rect">
                      <a:avLst/>
                    </a:prstGeom>
                  </pic:spPr>
                </pic:pic>
              </a:graphicData>
            </a:graphic>
          </wp:anchor>
        </w:drawing>
      </w:r>
      <w:r>
        <w:t>Sur le site internet doeat.com, les internautes peuvent commander en ligne les verrines de la marque et les recevoir directement à leur domicile, avec possibilité de les personnaliser. Ils peuvent interroger une base</w:t>
      </w:r>
      <w:r>
        <w:rPr>
          <w:spacing w:val="21"/>
        </w:rPr>
        <w:t xml:space="preserve"> </w:t>
      </w:r>
      <w:r>
        <w:t>de</w:t>
      </w:r>
      <w:r>
        <w:rPr>
          <w:spacing w:val="20"/>
        </w:rPr>
        <w:t xml:space="preserve"> </w:t>
      </w:r>
      <w:r>
        <w:t>données</w:t>
      </w:r>
      <w:r>
        <w:rPr>
          <w:spacing w:val="20"/>
        </w:rPr>
        <w:t xml:space="preserve"> </w:t>
      </w:r>
      <w:r>
        <w:t>pour</w:t>
      </w:r>
      <w:r>
        <w:rPr>
          <w:spacing w:val="20"/>
        </w:rPr>
        <w:t xml:space="preserve"> </w:t>
      </w:r>
      <w:r>
        <w:t>trouver</w:t>
      </w:r>
      <w:r>
        <w:rPr>
          <w:spacing w:val="20"/>
        </w:rPr>
        <w:t xml:space="preserve"> </w:t>
      </w:r>
      <w:r>
        <w:t>un</w:t>
      </w:r>
      <w:r>
        <w:rPr>
          <w:spacing w:val="20"/>
        </w:rPr>
        <w:t xml:space="preserve"> </w:t>
      </w:r>
      <w:r>
        <w:t>revendeur</w:t>
      </w:r>
    </w:p>
    <w:p w:rsidR="002F28B6" w:rsidRDefault="0094440B">
      <w:pPr>
        <w:pStyle w:val="Corpsdetexte"/>
        <w:ind w:left="312" w:right="218"/>
        <w:jc w:val="both"/>
      </w:pPr>
      <w:proofErr w:type="gramStart"/>
      <w:r>
        <w:t>proche</w:t>
      </w:r>
      <w:proofErr w:type="gramEnd"/>
      <w:r>
        <w:t xml:space="preserve"> de chez eux. Une page est dédiée aux recettes de verrines dans différentes catégories (desserts, poissons, viandes, végétarien) déposées par les internautes. Enfin, un formulaire de contact est à disposition des particuliers comme des professionnels.</w:t>
      </w:r>
    </w:p>
    <w:p w:rsidR="002F28B6" w:rsidRDefault="002F28B6">
      <w:pPr>
        <w:pStyle w:val="Corpsdetexte"/>
        <w:spacing w:before="11"/>
        <w:rPr>
          <w:sz w:val="20"/>
        </w:rPr>
      </w:pPr>
    </w:p>
    <w:p w:rsidR="002F28B6" w:rsidRDefault="0094440B">
      <w:pPr>
        <w:pStyle w:val="Corpsdetexte"/>
        <w:ind w:right="211"/>
        <w:jc w:val="right"/>
      </w:pPr>
      <w:r>
        <w:t>Source interne</w:t>
      </w:r>
    </w:p>
    <w:p w:rsidR="008130E8" w:rsidRDefault="008130E8">
      <w:pPr>
        <w:pStyle w:val="Corpsdetexte"/>
        <w:ind w:right="211"/>
        <w:jc w:val="right"/>
      </w:pPr>
    </w:p>
    <w:p w:rsidR="008130E8" w:rsidRDefault="008130E8" w:rsidP="008130E8">
      <w:pPr>
        <w:spacing w:before="12"/>
        <w:ind w:left="108"/>
        <w:rPr>
          <w:b/>
          <w:i/>
          <w:sz w:val="24"/>
        </w:rPr>
      </w:pPr>
    </w:p>
    <w:p w:rsidR="008130E8" w:rsidRDefault="008130E8" w:rsidP="008130E8">
      <w:pPr>
        <w:pBdr>
          <w:top w:val="single" w:sz="4" w:space="1" w:color="auto"/>
          <w:left w:val="single" w:sz="4" w:space="4" w:color="auto"/>
          <w:bottom w:val="single" w:sz="4" w:space="1" w:color="auto"/>
          <w:right w:val="single" w:sz="4" w:space="4" w:color="auto"/>
        </w:pBdr>
        <w:spacing w:before="12"/>
        <w:ind w:left="108"/>
        <w:rPr>
          <w:b/>
          <w:i/>
          <w:sz w:val="16"/>
        </w:rPr>
      </w:pPr>
      <w:r>
        <w:rPr>
          <w:b/>
          <w:i/>
          <w:sz w:val="24"/>
        </w:rPr>
        <w:t xml:space="preserve">Annexe 4 : Information sur la page Facebook de Do </w:t>
      </w:r>
      <w:proofErr w:type="spellStart"/>
      <w:r>
        <w:rPr>
          <w:b/>
          <w:i/>
          <w:sz w:val="24"/>
        </w:rPr>
        <w:t>Eat</w:t>
      </w:r>
      <w:proofErr w:type="spellEnd"/>
      <w:r>
        <w:rPr>
          <w:b/>
          <w:i/>
          <w:sz w:val="24"/>
        </w:rPr>
        <w:t xml:space="preserve"> lors de la COP2</w:t>
      </w:r>
      <w:r>
        <w:rPr>
          <w:b/>
          <w:i/>
          <w:sz w:val="24"/>
        </w:rPr>
        <w:t>1</w:t>
      </w:r>
      <w:r>
        <w:rPr>
          <w:rStyle w:val="Appelnotedebasdep"/>
          <w:b/>
          <w:i/>
          <w:sz w:val="24"/>
        </w:rPr>
        <w:footnoteReference w:id="4"/>
      </w:r>
    </w:p>
    <w:p w:rsidR="002F28B6" w:rsidRDefault="002F28B6">
      <w:pPr>
        <w:pStyle w:val="Corpsdetexte"/>
        <w:spacing w:before="9"/>
        <w:rPr>
          <w:sz w:val="17"/>
        </w:rPr>
      </w:pPr>
    </w:p>
    <w:p w:rsidR="002F28B6" w:rsidRDefault="002F28B6">
      <w:pPr>
        <w:pStyle w:val="Corpsdetexte"/>
        <w:spacing w:before="2" w:after="1"/>
        <w:rPr>
          <w:sz w:val="19"/>
        </w:rPr>
      </w:pPr>
    </w:p>
    <w:tbl>
      <w:tblPr>
        <w:tblStyle w:val="TableNormal"/>
        <w:tblW w:w="0" w:type="auto"/>
        <w:tblInd w:w="113" w:type="dxa"/>
        <w:tblLayout w:type="fixed"/>
        <w:tblLook w:val="01E0" w:firstRow="1" w:lastRow="1" w:firstColumn="1" w:lastColumn="1" w:noHBand="0" w:noVBand="0"/>
      </w:tblPr>
      <w:tblGrid>
        <w:gridCol w:w="6516"/>
        <w:gridCol w:w="3293"/>
      </w:tblGrid>
      <w:tr w:rsidR="002F28B6">
        <w:trPr>
          <w:trHeight w:val="2140"/>
        </w:trPr>
        <w:tc>
          <w:tcPr>
            <w:tcW w:w="6516" w:type="dxa"/>
          </w:tcPr>
          <w:p w:rsidR="002F28B6" w:rsidRDefault="0094440B">
            <w:pPr>
              <w:pStyle w:val="TableParagraph"/>
              <w:ind w:left="281"/>
              <w:rPr>
                <w:sz w:val="20"/>
              </w:rPr>
            </w:pPr>
            <w:r>
              <w:rPr>
                <w:noProof/>
                <w:sz w:val="20"/>
              </w:rPr>
              <w:drawing>
                <wp:inline distT="0" distB="0" distL="0" distR="0">
                  <wp:extent cx="3810401" cy="133902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810401" cy="1339024"/>
                          </a:xfrm>
                          <a:prstGeom prst="rect">
                            <a:avLst/>
                          </a:prstGeom>
                        </pic:spPr>
                      </pic:pic>
                    </a:graphicData>
                  </a:graphic>
                </wp:inline>
              </w:drawing>
            </w:r>
          </w:p>
        </w:tc>
        <w:tc>
          <w:tcPr>
            <w:tcW w:w="3293" w:type="dxa"/>
          </w:tcPr>
          <w:p w:rsidR="002F28B6" w:rsidRDefault="002F28B6">
            <w:pPr>
              <w:pStyle w:val="TableParagraph"/>
              <w:rPr>
                <w:sz w:val="25"/>
              </w:rPr>
            </w:pPr>
          </w:p>
          <w:p w:rsidR="002F28B6" w:rsidRDefault="0094440B">
            <w:pPr>
              <w:pStyle w:val="TableParagraph"/>
              <w:ind w:left="152"/>
              <w:rPr>
                <w:sz w:val="20"/>
              </w:rPr>
            </w:pPr>
            <w:r>
              <w:rPr>
                <w:noProof/>
                <w:sz w:val="20"/>
              </w:rPr>
              <w:drawing>
                <wp:inline distT="0" distB="0" distL="0" distR="0">
                  <wp:extent cx="1863798" cy="99212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863798" cy="992124"/>
                          </a:xfrm>
                          <a:prstGeom prst="rect">
                            <a:avLst/>
                          </a:prstGeom>
                        </pic:spPr>
                      </pic:pic>
                    </a:graphicData>
                  </a:graphic>
                </wp:inline>
              </w:drawing>
            </w:r>
          </w:p>
        </w:tc>
      </w:tr>
    </w:tbl>
    <w:p w:rsidR="002F28B6" w:rsidRDefault="002F28B6">
      <w:pPr>
        <w:pStyle w:val="Corpsdetexte"/>
        <w:spacing w:before="10"/>
        <w:rPr>
          <w:sz w:val="13"/>
        </w:rPr>
      </w:pPr>
    </w:p>
    <w:p w:rsidR="002F28B6" w:rsidRDefault="0094440B">
      <w:pPr>
        <w:spacing w:before="94"/>
        <w:ind w:right="208"/>
        <w:jc w:val="right"/>
      </w:pPr>
      <w:r>
        <w:t>Source : Facebook</w:t>
      </w:r>
    </w:p>
    <w:p w:rsidR="008130E8" w:rsidRDefault="008130E8">
      <w:pPr>
        <w:spacing w:before="94"/>
        <w:ind w:right="208"/>
        <w:jc w:val="right"/>
      </w:pPr>
    </w:p>
    <w:p w:rsidR="002F28B6" w:rsidRDefault="002F28B6">
      <w:pPr>
        <w:pStyle w:val="Corpsdetexte"/>
        <w:spacing w:before="9"/>
        <w:rPr>
          <w:sz w:val="18"/>
        </w:rPr>
      </w:pPr>
    </w:p>
    <w:p w:rsidR="008130E8" w:rsidRDefault="008130E8" w:rsidP="008130E8">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t>Annexe 5 : Participation au salon saveurs des plaisirs gourmands</w:t>
      </w:r>
    </w:p>
    <w:p w:rsidR="002F28B6" w:rsidRDefault="002F28B6">
      <w:pPr>
        <w:pStyle w:val="Corpsdetexte"/>
        <w:rPr>
          <w:sz w:val="13"/>
        </w:rPr>
      </w:pPr>
    </w:p>
    <w:p w:rsidR="002F28B6" w:rsidRDefault="0094440B">
      <w:pPr>
        <w:pStyle w:val="Corpsdetexte"/>
        <w:spacing w:before="93"/>
        <w:ind w:left="312" w:right="213"/>
        <w:jc w:val="both"/>
      </w:pPr>
      <w:r>
        <w:t>Le salon saveurs des plaisirs gourmands se déroule début décembre pour permettre de préparer des fêtes gourmandes. Trois cent cinquante producteurs sont présents et plus de 40 000 visiteurs viennent au salon.</w:t>
      </w:r>
    </w:p>
    <w:p w:rsidR="002F28B6" w:rsidRDefault="002F28B6">
      <w:pPr>
        <w:pStyle w:val="Corpsdetexte"/>
      </w:pPr>
    </w:p>
    <w:p w:rsidR="002F28B6" w:rsidRDefault="0094440B">
      <w:pPr>
        <w:pStyle w:val="Paragraphedeliste"/>
        <w:numPr>
          <w:ilvl w:val="0"/>
          <w:numId w:val="1"/>
        </w:numPr>
        <w:tabs>
          <w:tab w:val="left" w:pos="741"/>
        </w:tabs>
        <w:spacing w:line="292" w:lineRule="exact"/>
        <w:ind w:hanging="360"/>
        <w:rPr>
          <w:sz w:val="24"/>
        </w:rPr>
      </w:pPr>
      <w:r>
        <w:rPr>
          <w:sz w:val="24"/>
        </w:rPr>
        <w:t xml:space="preserve">PV TTC moyen d’un paquet de verrines Do </w:t>
      </w:r>
      <w:proofErr w:type="spellStart"/>
      <w:r>
        <w:rPr>
          <w:sz w:val="24"/>
        </w:rPr>
        <w:t>Eat</w:t>
      </w:r>
      <w:proofErr w:type="spellEnd"/>
      <w:r>
        <w:rPr>
          <w:sz w:val="24"/>
        </w:rPr>
        <w:t xml:space="preserve"> : 4,95</w:t>
      </w:r>
      <w:r>
        <w:rPr>
          <w:spacing w:val="-3"/>
          <w:sz w:val="24"/>
        </w:rPr>
        <w:t xml:space="preserve"> </w:t>
      </w:r>
      <w:r>
        <w:rPr>
          <w:sz w:val="24"/>
        </w:rPr>
        <w:t>€</w:t>
      </w:r>
    </w:p>
    <w:p w:rsidR="002F28B6" w:rsidRDefault="0094440B">
      <w:pPr>
        <w:pStyle w:val="Paragraphedeliste"/>
        <w:numPr>
          <w:ilvl w:val="0"/>
          <w:numId w:val="1"/>
        </w:numPr>
        <w:tabs>
          <w:tab w:val="left" w:pos="741"/>
        </w:tabs>
        <w:spacing w:line="292" w:lineRule="exact"/>
        <w:ind w:hanging="360"/>
        <w:rPr>
          <w:sz w:val="24"/>
        </w:rPr>
      </w:pPr>
      <w:r>
        <w:rPr>
          <w:sz w:val="24"/>
        </w:rPr>
        <w:t>TVA : 20</w:t>
      </w:r>
      <w:r>
        <w:rPr>
          <w:spacing w:val="-2"/>
          <w:sz w:val="24"/>
        </w:rPr>
        <w:t xml:space="preserve"> </w:t>
      </w:r>
      <w:r>
        <w:rPr>
          <w:sz w:val="24"/>
        </w:rPr>
        <w:t>%</w:t>
      </w:r>
    </w:p>
    <w:p w:rsidR="002F28B6" w:rsidRDefault="0094440B">
      <w:pPr>
        <w:pStyle w:val="Paragraphedeliste"/>
        <w:numPr>
          <w:ilvl w:val="0"/>
          <w:numId w:val="1"/>
        </w:numPr>
        <w:tabs>
          <w:tab w:val="left" w:pos="741"/>
        </w:tabs>
        <w:spacing w:line="293" w:lineRule="exact"/>
        <w:ind w:hanging="360"/>
        <w:rPr>
          <w:sz w:val="24"/>
        </w:rPr>
      </w:pPr>
      <w:r>
        <w:rPr>
          <w:sz w:val="24"/>
        </w:rPr>
        <w:t>Taux de marge sur coûts variables : 40</w:t>
      </w:r>
      <w:r>
        <w:rPr>
          <w:spacing w:val="-4"/>
          <w:sz w:val="24"/>
        </w:rPr>
        <w:t xml:space="preserve"> </w:t>
      </w:r>
      <w:r>
        <w:rPr>
          <w:sz w:val="24"/>
        </w:rPr>
        <w:t>%</w:t>
      </w:r>
    </w:p>
    <w:p w:rsidR="002F28B6" w:rsidRDefault="0094440B">
      <w:pPr>
        <w:pStyle w:val="Paragraphedeliste"/>
        <w:numPr>
          <w:ilvl w:val="0"/>
          <w:numId w:val="1"/>
        </w:numPr>
        <w:tabs>
          <w:tab w:val="left" w:pos="741"/>
        </w:tabs>
        <w:spacing w:line="293" w:lineRule="exact"/>
        <w:ind w:hanging="360"/>
        <w:rPr>
          <w:sz w:val="24"/>
        </w:rPr>
      </w:pPr>
      <w:r>
        <w:rPr>
          <w:sz w:val="24"/>
        </w:rPr>
        <w:t>Coûts fixes</w:t>
      </w:r>
      <w:r>
        <w:rPr>
          <w:spacing w:val="-2"/>
          <w:sz w:val="24"/>
        </w:rPr>
        <w:t xml:space="preserve"> </w:t>
      </w:r>
      <w:r>
        <w:rPr>
          <w:sz w:val="24"/>
        </w:rPr>
        <w:t>:</w:t>
      </w:r>
    </w:p>
    <w:p w:rsidR="002F28B6" w:rsidRDefault="0094440B">
      <w:pPr>
        <w:pStyle w:val="Paragraphedeliste"/>
        <w:numPr>
          <w:ilvl w:val="1"/>
          <w:numId w:val="1"/>
        </w:numPr>
        <w:tabs>
          <w:tab w:val="left" w:pos="1021"/>
          <w:tab w:val="left" w:pos="1022"/>
        </w:tabs>
        <w:spacing w:line="275" w:lineRule="exact"/>
        <w:jc w:val="left"/>
        <w:rPr>
          <w:sz w:val="24"/>
        </w:rPr>
      </w:pPr>
      <w:r>
        <w:rPr>
          <w:sz w:val="24"/>
        </w:rPr>
        <w:t>Location du stand : 5 000 € par</w:t>
      </w:r>
      <w:r>
        <w:rPr>
          <w:spacing w:val="-1"/>
          <w:sz w:val="24"/>
        </w:rPr>
        <w:t xml:space="preserve"> </w:t>
      </w:r>
      <w:r>
        <w:rPr>
          <w:sz w:val="24"/>
        </w:rPr>
        <w:t>jour</w:t>
      </w:r>
    </w:p>
    <w:p w:rsidR="002F28B6" w:rsidRDefault="0094440B">
      <w:pPr>
        <w:pStyle w:val="Paragraphedeliste"/>
        <w:numPr>
          <w:ilvl w:val="1"/>
          <w:numId w:val="1"/>
        </w:numPr>
        <w:tabs>
          <w:tab w:val="left" w:pos="1021"/>
          <w:tab w:val="left" w:pos="1022"/>
        </w:tabs>
        <w:jc w:val="left"/>
        <w:rPr>
          <w:sz w:val="24"/>
        </w:rPr>
      </w:pPr>
      <w:r>
        <w:rPr>
          <w:sz w:val="24"/>
        </w:rPr>
        <w:t>Durée du salon : 2</w:t>
      </w:r>
      <w:r>
        <w:rPr>
          <w:spacing w:val="-1"/>
          <w:sz w:val="24"/>
        </w:rPr>
        <w:t xml:space="preserve"> </w:t>
      </w:r>
      <w:r>
        <w:rPr>
          <w:sz w:val="24"/>
        </w:rPr>
        <w:t>jours</w:t>
      </w:r>
    </w:p>
    <w:p w:rsidR="002F28B6" w:rsidRDefault="0094440B">
      <w:pPr>
        <w:pStyle w:val="Paragraphedeliste"/>
        <w:numPr>
          <w:ilvl w:val="1"/>
          <w:numId w:val="1"/>
        </w:numPr>
        <w:tabs>
          <w:tab w:val="left" w:pos="1021"/>
          <w:tab w:val="left" w:pos="1022"/>
        </w:tabs>
        <w:jc w:val="left"/>
        <w:rPr>
          <w:sz w:val="24"/>
        </w:rPr>
      </w:pPr>
      <w:r>
        <w:rPr>
          <w:sz w:val="24"/>
        </w:rPr>
        <w:t>Autres coûts fixes pour la durée du salon : 2 000</w:t>
      </w:r>
      <w:r>
        <w:rPr>
          <w:spacing w:val="-7"/>
          <w:sz w:val="24"/>
        </w:rPr>
        <w:t xml:space="preserve"> </w:t>
      </w:r>
      <w:r>
        <w:rPr>
          <w:sz w:val="24"/>
        </w:rPr>
        <w:t>€</w:t>
      </w:r>
    </w:p>
    <w:p w:rsidR="002F28B6" w:rsidRDefault="002F28B6">
      <w:pPr>
        <w:pStyle w:val="Corpsdetexte"/>
        <w:spacing w:before="10"/>
        <w:rPr>
          <w:sz w:val="12"/>
        </w:rPr>
      </w:pPr>
    </w:p>
    <w:p w:rsidR="002F28B6" w:rsidRDefault="0094440B">
      <w:pPr>
        <w:pStyle w:val="Corpsdetexte"/>
        <w:spacing w:before="92"/>
        <w:ind w:right="211"/>
        <w:jc w:val="right"/>
      </w:pPr>
      <w:r>
        <w:t>Source interne</w:t>
      </w:r>
    </w:p>
    <w:p w:rsidR="002F28B6" w:rsidRDefault="002F28B6">
      <w:pPr>
        <w:pStyle w:val="Corpsdetexte"/>
        <w:rPr>
          <w:sz w:val="20"/>
        </w:rPr>
      </w:pPr>
    </w:p>
    <w:p w:rsidR="002F28B6" w:rsidRDefault="002F28B6">
      <w:pPr>
        <w:pStyle w:val="Corpsdetexte"/>
        <w:rPr>
          <w:sz w:val="20"/>
        </w:rPr>
      </w:pPr>
    </w:p>
    <w:p w:rsidR="002F28B6" w:rsidRDefault="002F28B6">
      <w:pPr>
        <w:pStyle w:val="Corpsdetexte"/>
        <w:rPr>
          <w:sz w:val="20"/>
        </w:rPr>
      </w:pPr>
    </w:p>
    <w:p w:rsidR="002F28B6" w:rsidRDefault="002F28B6">
      <w:pPr>
        <w:pStyle w:val="Corpsdetexte"/>
        <w:spacing w:before="4"/>
        <w:rPr>
          <w:sz w:val="22"/>
        </w:rPr>
      </w:pPr>
      <w:bookmarkStart w:id="0" w:name="_GoBack"/>
      <w:bookmarkEnd w:id="0"/>
    </w:p>
    <w:sectPr w:rsidR="002F28B6" w:rsidSect="008130E8">
      <w:pgSz w:w="11910" w:h="16840"/>
      <w:pgMar w:top="851" w:right="920" w:bottom="1300" w:left="820" w:header="0" w:footer="1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6C3" w:rsidRDefault="007826C3">
      <w:r>
        <w:separator/>
      </w:r>
    </w:p>
  </w:endnote>
  <w:endnote w:type="continuationSeparator" w:id="0">
    <w:p w:rsidR="007826C3" w:rsidRDefault="0078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8B6" w:rsidRPr="002C0273" w:rsidRDefault="002C0273" w:rsidP="002C0273">
    <w:pPr>
      <w:pStyle w:val="Pieddepage"/>
      <w:pBdr>
        <w:top w:val="single" w:sz="24" w:space="5" w:color="403152" w:themeColor="accent4" w:themeShade="80"/>
      </w:pBdr>
    </w:pPr>
    <w:r>
      <w:t xml:space="preserve">Do </w:t>
    </w:r>
    <w:proofErr w:type="spellStart"/>
    <w:r>
      <w:t>Eat</w:t>
    </w:r>
    <w:proofErr w:type="spellEnd"/>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r>
      <w:t xml:space="preserve"> / </w:t>
    </w:r>
    <w:r w:rsidR="007826C3">
      <w:rPr>
        <w:noProof/>
      </w:rPr>
      <w:fldChar w:fldCharType="begin"/>
    </w:r>
    <w:r w:rsidR="007826C3">
      <w:rPr>
        <w:noProof/>
      </w:rPr>
      <w:instrText xml:space="preserve"> NUMPAGES   \* MERGEFORMAT </w:instrText>
    </w:r>
    <w:r w:rsidR="007826C3">
      <w:rPr>
        <w:noProof/>
      </w:rPr>
      <w:fldChar w:fldCharType="separate"/>
    </w:r>
    <w:r>
      <w:rPr>
        <w:noProof/>
      </w:rPr>
      <w:t>4</w:t>
    </w:r>
    <w:r w:rsidR="007826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6C3" w:rsidRDefault="007826C3">
      <w:r>
        <w:separator/>
      </w:r>
    </w:p>
  </w:footnote>
  <w:footnote w:type="continuationSeparator" w:id="0">
    <w:p w:rsidR="007826C3" w:rsidRDefault="007826C3">
      <w:r>
        <w:continuationSeparator/>
      </w:r>
    </w:p>
  </w:footnote>
  <w:footnote w:id="1">
    <w:p w:rsidR="00C331FD" w:rsidRPr="00C331FD" w:rsidRDefault="00C331FD" w:rsidP="00C331FD">
      <w:pPr>
        <w:spacing w:before="62" w:after="120"/>
        <w:ind w:left="312"/>
        <w:rPr>
          <w:sz w:val="20"/>
        </w:rPr>
      </w:pPr>
      <w:r>
        <w:rPr>
          <w:rStyle w:val="Appelnotedebasdep"/>
        </w:rPr>
        <w:footnoteRef/>
      </w:r>
      <w:r>
        <w:t xml:space="preserve"> </w:t>
      </w:r>
      <w:r>
        <w:rPr>
          <w:position w:val="6"/>
          <w:sz w:val="13"/>
        </w:rPr>
        <w:t xml:space="preserve"> </w:t>
      </w:r>
      <w:r>
        <w:rPr>
          <w:sz w:val="20"/>
        </w:rPr>
        <w:t>Web design : conception de sites internet.</w:t>
      </w:r>
    </w:p>
  </w:footnote>
  <w:footnote w:id="2">
    <w:p w:rsidR="008F34D7" w:rsidRPr="008F34D7" w:rsidRDefault="008F34D7" w:rsidP="008F34D7">
      <w:pPr>
        <w:spacing w:before="62"/>
        <w:ind w:left="312"/>
        <w:rPr>
          <w:sz w:val="20"/>
        </w:rPr>
      </w:pPr>
      <w:r>
        <w:rPr>
          <w:rStyle w:val="Appelnotedebasdep"/>
        </w:rPr>
        <w:footnoteRef/>
      </w:r>
      <w:r>
        <w:t xml:space="preserve"> </w:t>
      </w:r>
      <w:r>
        <w:rPr>
          <w:position w:val="6"/>
          <w:sz w:val="13"/>
        </w:rPr>
        <w:t xml:space="preserve"> </w:t>
      </w:r>
      <w:r>
        <w:rPr>
          <w:sz w:val="20"/>
        </w:rPr>
        <w:t>Start-up : jeune entreprise.</w:t>
      </w:r>
    </w:p>
  </w:footnote>
  <w:footnote w:id="3">
    <w:p w:rsidR="008F34D7" w:rsidRPr="008F34D7" w:rsidRDefault="008F34D7" w:rsidP="008F34D7">
      <w:pPr>
        <w:spacing w:after="120"/>
        <w:ind w:left="312"/>
        <w:rPr>
          <w:sz w:val="20"/>
        </w:rPr>
      </w:pPr>
      <w:r>
        <w:rPr>
          <w:rStyle w:val="Appelnotedebasdep"/>
        </w:rPr>
        <w:footnoteRef/>
      </w:r>
      <w:r>
        <w:t xml:space="preserve"> </w:t>
      </w:r>
      <w:r>
        <w:rPr>
          <w:sz w:val="20"/>
        </w:rPr>
        <w:t>Charlotte, Belle de Fontenay : variétés de pommes de terre.</w:t>
      </w:r>
    </w:p>
  </w:footnote>
  <w:footnote w:id="4">
    <w:p w:rsidR="008130E8" w:rsidRPr="008130E8" w:rsidRDefault="008130E8" w:rsidP="008130E8">
      <w:pPr>
        <w:spacing w:before="62" w:after="120"/>
        <w:ind w:left="312" w:right="108"/>
        <w:rPr>
          <w:sz w:val="20"/>
        </w:rPr>
      </w:pPr>
      <w:r>
        <w:rPr>
          <w:rStyle w:val="Appelnotedebasdep"/>
        </w:rPr>
        <w:footnoteRef/>
      </w:r>
      <w:r>
        <w:t xml:space="preserve"> </w:t>
      </w:r>
      <w:r>
        <w:rPr>
          <w:position w:val="6"/>
          <w:sz w:val="13"/>
        </w:rPr>
        <w:t xml:space="preserve"> </w:t>
      </w:r>
      <w:r>
        <w:rPr>
          <w:sz w:val="20"/>
        </w:rPr>
        <w:t>COP21 : La Conférence COP21 regroupe 20 000 représentants du monde entier. Elle doit aboutir à l’adoption d’un accord universel pour lutter contre le réchauffement climatique.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1D1A"/>
    <w:multiLevelType w:val="multilevel"/>
    <w:tmpl w:val="6FEA004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CFA4863"/>
    <w:multiLevelType w:val="hybridMultilevel"/>
    <w:tmpl w:val="958491C6"/>
    <w:lvl w:ilvl="0" w:tplc="F54604E6">
      <w:numFmt w:val="bullet"/>
      <w:lvlText w:val=""/>
      <w:lvlJc w:val="left"/>
      <w:pPr>
        <w:ind w:left="740" w:hanging="361"/>
      </w:pPr>
      <w:rPr>
        <w:rFonts w:ascii="Symbol" w:eastAsia="Symbol" w:hAnsi="Symbol" w:cs="Symbol" w:hint="default"/>
        <w:w w:val="100"/>
        <w:sz w:val="24"/>
        <w:szCs w:val="24"/>
        <w:lang w:val="fr-FR" w:eastAsia="fr-FR" w:bidi="fr-FR"/>
      </w:rPr>
    </w:lvl>
    <w:lvl w:ilvl="1" w:tplc="4E163BCE">
      <w:numFmt w:val="bullet"/>
      <w:lvlText w:val="-"/>
      <w:lvlJc w:val="left"/>
      <w:pPr>
        <w:ind w:left="1021" w:hanging="348"/>
      </w:pPr>
      <w:rPr>
        <w:rFonts w:ascii="Arial" w:eastAsia="Arial" w:hAnsi="Arial" w:cs="Arial" w:hint="default"/>
        <w:spacing w:val="-3"/>
        <w:w w:val="100"/>
        <w:sz w:val="24"/>
        <w:szCs w:val="24"/>
        <w:lang w:val="fr-FR" w:eastAsia="fr-FR" w:bidi="fr-FR"/>
      </w:rPr>
    </w:lvl>
    <w:lvl w:ilvl="2" w:tplc="DAF6918E">
      <w:numFmt w:val="bullet"/>
      <w:lvlText w:val="•"/>
      <w:lvlJc w:val="left"/>
      <w:pPr>
        <w:ind w:left="2036" w:hanging="348"/>
      </w:pPr>
      <w:rPr>
        <w:rFonts w:hint="default"/>
        <w:lang w:val="fr-FR" w:eastAsia="fr-FR" w:bidi="fr-FR"/>
      </w:rPr>
    </w:lvl>
    <w:lvl w:ilvl="3" w:tplc="70D62352">
      <w:numFmt w:val="bullet"/>
      <w:lvlText w:val="•"/>
      <w:lvlJc w:val="left"/>
      <w:pPr>
        <w:ind w:left="3052" w:hanging="348"/>
      </w:pPr>
      <w:rPr>
        <w:rFonts w:hint="default"/>
        <w:lang w:val="fr-FR" w:eastAsia="fr-FR" w:bidi="fr-FR"/>
      </w:rPr>
    </w:lvl>
    <w:lvl w:ilvl="4" w:tplc="5754A860">
      <w:numFmt w:val="bullet"/>
      <w:lvlText w:val="•"/>
      <w:lvlJc w:val="left"/>
      <w:pPr>
        <w:ind w:left="4068" w:hanging="348"/>
      </w:pPr>
      <w:rPr>
        <w:rFonts w:hint="default"/>
        <w:lang w:val="fr-FR" w:eastAsia="fr-FR" w:bidi="fr-FR"/>
      </w:rPr>
    </w:lvl>
    <w:lvl w:ilvl="5" w:tplc="F352559A">
      <w:numFmt w:val="bullet"/>
      <w:lvlText w:val="•"/>
      <w:lvlJc w:val="left"/>
      <w:pPr>
        <w:ind w:left="5085" w:hanging="348"/>
      </w:pPr>
      <w:rPr>
        <w:rFonts w:hint="default"/>
        <w:lang w:val="fr-FR" w:eastAsia="fr-FR" w:bidi="fr-FR"/>
      </w:rPr>
    </w:lvl>
    <w:lvl w:ilvl="6" w:tplc="4AA4E6D6">
      <w:numFmt w:val="bullet"/>
      <w:lvlText w:val="•"/>
      <w:lvlJc w:val="left"/>
      <w:pPr>
        <w:ind w:left="6101" w:hanging="348"/>
      </w:pPr>
      <w:rPr>
        <w:rFonts w:hint="default"/>
        <w:lang w:val="fr-FR" w:eastAsia="fr-FR" w:bidi="fr-FR"/>
      </w:rPr>
    </w:lvl>
    <w:lvl w:ilvl="7" w:tplc="644C5130">
      <w:numFmt w:val="bullet"/>
      <w:lvlText w:val="•"/>
      <w:lvlJc w:val="left"/>
      <w:pPr>
        <w:ind w:left="7117" w:hanging="348"/>
      </w:pPr>
      <w:rPr>
        <w:rFonts w:hint="default"/>
        <w:lang w:val="fr-FR" w:eastAsia="fr-FR" w:bidi="fr-FR"/>
      </w:rPr>
    </w:lvl>
    <w:lvl w:ilvl="8" w:tplc="13F63ABC">
      <w:numFmt w:val="bullet"/>
      <w:lvlText w:val="•"/>
      <w:lvlJc w:val="left"/>
      <w:pPr>
        <w:ind w:left="8133" w:hanging="348"/>
      </w:pPr>
      <w:rPr>
        <w:rFonts w:hint="default"/>
        <w:lang w:val="fr-FR" w:eastAsia="fr-FR" w:bidi="fr-FR"/>
      </w:rPr>
    </w:lvl>
  </w:abstractNum>
  <w:abstractNum w:abstractNumId="2" w15:restartNumberingAfterBreak="0">
    <w:nsid w:val="33E223F5"/>
    <w:multiLevelType w:val="multilevel"/>
    <w:tmpl w:val="441C73BA"/>
    <w:lvl w:ilvl="0">
      <w:start w:val="1"/>
      <w:numFmt w:val="decimal"/>
      <w:lvlText w:val="%1."/>
      <w:lvlJc w:val="left"/>
      <w:pPr>
        <w:ind w:left="705" w:hanging="705"/>
      </w:pPr>
      <w:rPr>
        <w:rFonts w:hint="default"/>
      </w:rPr>
    </w:lvl>
    <w:lvl w:ilvl="1">
      <w:start w:val="1"/>
      <w:numFmt w:val="decimal"/>
      <w:lvlText w:val="%1.%2-"/>
      <w:lvlJc w:val="left"/>
      <w:pPr>
        <w:ind w:left="1032" w:hanging="72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3" w15:restartNumberingAfterBreak="0">
    <w:nsid w:val="7FBF0B73"/>
    <w:multiLevelType w:val="hybridMultilevel"/>
    <w:tmpl w:val="E848C4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8B6"/>
    <w:rsid w:val="002C0273"/>
    <w:rsid w:val="002F28B6"/>
    <w:rsid w:val="005E5AC6"/>
    <w:rsid w:val="00602011"/>
    <w:rsid w:val="007826C3"/>
    <w:rsid w:val="008130E8"/>
    <w:rsid w:val="008F34D7"/>
    <w:rsid w:val="0094440B"/>
    <w:rsid w:val="00A001A7"/>
    <w:rsid w:val="00C33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7AEA"/>
  <w15:docId w15:val="{99A7E553-0178-428A-95EC-70C68020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333"/>
      <w:ind w:left="860" w:right="762"/>
      <w:jc w:val="center"/>
      <w:outlineLvl w:val="0"/>
    </w:pPr>
    <w:rPr>
      <w:rFonts w:ascii="Times New Roman" w:eastAsia="Times New Roman" w:hAnsi="Times New Roman" w:cs="Times New Roman"/>
      <w:b/>
      <w:bCs/>
      <w:sz w:val="40"/>
      <w:szCs w:val="40"/>
    </w:rPr>
  </w:style>
  <w:style w:type="paragraph" w:styleId="Titre2">
    <w:name w:val="heading 2"/>
    <w:basedOn w:val="Normal"/>
    <w:uiPriority w:val="1"/>
    <w:qFormat/>
    <w:pPr>
      <w:spacing w:before="58"/>
      <w:ind w:left="860"/>
      <w:outlineLvl w:val="1"/>
    </w:pPr>
    <w:rPr>
      <w:rFonts w:ascii="Times New Roman" w:eastAsia="Times New Roman" w:hAnsi="Times New Roman" w:cs="Times New Roman"/>
      <w:b/>
      <w:bCs/>
      <w:sz w:val="36"/>
      <w:szCs w:val="36"/>
    </w:rPr>
  </w:style>
  <w:style w:type="paragraph" w:styleId="Titre3">
    <w:name w:val="heading 3"/>
    <w:basedOn w:val="Normal"/>
    <w:uiPriority w:val="1"/>
    <w:qFormat/>
    <w:pPr>
      <w:ind w:left="1033" w:hanging="721"/>
      <w:jc w:val="both"/>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740"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C0273"/>
    <w:pPr>
      <w:tabs>
        <w:tab w:val="center" w:pos="4536"/>
        <w:tab w:val="right" w:pos="9072"/>
      </w:tabs>
    </w:pPr>
  </w:style>
  <w:style w:type="character" w:customStyle="1" w:styleId="En-tteCar">
    <w:name w:val="En-tête Car"/>
    <w:basedOn w:val="Policepardfaut"/>
    <w:link w:val="En-tte"/>
    <w:uiPriority w:val="99"/>
    <w:rsid w:val="002C0273"/>
    <w:rPr>
      <w:rFonts w:ascii="Arial" w:eastAsia="Arial" w:hAnsi="Arial" w:cs="Arial"/>
      <w:lang w:val="fr-FR" w:eastAsia="fr-FR" w:bidi="fr-FR"/>
    </w:rPr>
  </w:style>
  <w:style w:type="paragraph" w:styleId="Pieddepage">
    <w:name w:val="footer"/>
    <w:basedOn w:val="Normal"/>
    <w:link w:val="PieddepageCar"/>
    <w:uiPriority w:val="99"/>
    <w:unhideWhenUsed/>
    <w:rsid w:val="002C0273"/>
    <w:pPr>
      <w:tabs>
        <w:tab w:val="center" w:pos="4536"/>
        <w:tab w:val="right" w:pos="9072"/>
      </w:tabs>
    </w:pPr>
  </w:style>
  <w:style w:type="character" w:customStyle="1" w:styleId="PieddepageCar">
    <w:name w:val="Pied de page Car"/>
    <w:basedOn w:val="Policepardfaut"/>
    <w:link w:val="Pieddepage"/>
    <w:uiPriority w:val="99"/>
    <w:rsid w:val="002C0273"/>
    <w:rPr>
      <w:rFonts w:ascii="Arial" w:eastAsia="Arial" w:hAnsi="Arial" w:cs="Arial"/>
      <w:lang w:val="fr-FR" w:eastAsia="fr-FR" w:bidi="fr-FR"/>
    </w:rPr>
  </w:style>
  <w:style w:type="paragraph" w:styleId="Notedebasdepage">
    <w:name w:val="footnote text"/>
    <w:basedOn w:val="Normal"/>
    <w:link w:val="NotedebasdepageCar"/>
    <w:uiPriority w:val="99"/>
    <w:semiHidden/>
    <w:unhideWhenUsed/>
    <w:rsid w:val="00C331FD"/>
    <w:rPr>
      <w:sz w:val="20"/>
      <w:szCs w:val="20"/>
    </w:rPr>
  </w:style>
  <w:style w:type="character" w:customStyle="1" w:styleId="NotedebasdepageCar">
    <w:name w:val="Note de bas de page Car"/>
    <w:basedOn w:val="Policepardfaut"/>
    <w:link w:val="Notedebasdepage"/>
    <w:uiPriority w:val="99"/>
    <w:semiHidden/>
    <w:rsid w:val="00C331FD"/>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C33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A0DF-FA78-472B-A9E0-9021770A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www.stgcfe.fr - www.stmg.education</cp:lastModifiedBy>
  <cp:revision>7</cp:revision>
  <dcterms:created xsi:type="dcterms:W3CDTF">2018-07-07T22:09:00Z</dcterms:created>
  <dcterms:modified xsi:type="dcterms:W3CDTF">2018-07-07T22:58:00Z</dcterms:modified>
</cp:coreProperties>
</file>