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B1" w:rsidRDefault="00BF4DB1" w:rsidP="00BF4DB1">
      <w:pPr>
        <w:pStyle w:val="Titre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2013 – SUJET N° 4</w:t>
      </w:r>
      <w:r>
        <w:rPr>
          <w:rFonts w:ascii="Tahoma" w:hAnsi="Tahoma" w:cs="Tahoma"/>
          <w:b/>
          <w:sz w:val="36"/>
          <w:szCs w:val="36"/>
        </w:rPr>
        <w:t>4</w:t>
      </w:r>
    </w:p>
    <w:p w:rsidR="00D90DCB" w:rsidRDefault="00D90DCB">
      <w:pPr>
        <w:pStyle w:val="Corpsdetexte"/>
        <w:rPr>
          <w:b/>
          <w:sz w:val="30"/>
        </w:rPr>
      </w:pPr>
    </w:p>
    <w:p w:rsidR="00D90DCB" w:rsidRDefault="00D90DCB">
      <w:pPr>
        <w:pStyle w:val="Corpsdetexte"/>
        <w:rPr>
          <w:b/>
          <w:sz w:val="30"/>
        </w:rPr>
      </w:pPr>
    </w:p>
    <w:p w:rsidR="00D90DCB" w:rsidRDefault="00D90DCB">
      <w:pPr>
        <w:pStyle w:val="Corpsdetexte"/>
        <w:spacing w:before="10"/>
        <w:rPr>
          <w:b/>
          <w:sz w:val="35"/>
        </w:rPr>
      </w:pPr>
    </w:p>
    <w:p w:rsidR="00D90DCB" w:rsidRPr="00BF4DB1" w:rsidRDefault="002F2EA5">
      <w:pPr>
        <w:pStyle w:val="Titre1"/>
        <w:ind w:left="112" w:right="117"/>
        <w:jc w:val="left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À partir du document fourni en annexe et de vos connaissances, vous répondrez aux questions suivantes :</w:t>
      </w:r>
    </w:p>
    <w:p w:rsidR="00D90DCB" w:rsidRPr="00BF4DB1" w:rsidRDefault="00D90DCB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D90DCB" w:rsidRPr="00BF4DB1" w:rsidRDefault="002F2EA5">
      <w:pPr>
        <w:pStyle w:val="Paragraphedeliste"/>
        <w:numPr>
          <w:ilvl w:val="0"/>
          <w:numId w:val="1"/>
        </w:numPr>
        <w:tabs>
          <w:tab w:val="left" w:pos="834"/>
        </w:tabs>
        <w:spacing w:before="231"/>
        <w:ind w:right="518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Rappelez les avantages et les inconvénients de l’entreprise individuelle (en nom propre).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Paragraphedeliste"/>
        <w:numPr>
          <w:ilvl w:val="0"/>
          <w:numId w:val="1"/>
        </w:numPr>
        <w:tabs>
          <w:tab w:val="left" w:pos="834"/>
        </w:tabs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Présentez les caractéristiques du nouveau statut de</w:t>
      </w:r>
      <w:r w:rsidRPr="00BF4D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BF4DB1">
        <w:rPr>
          <w:rFonts w:ascii="Tahoma" w:hAnsi="Tahoma" w:cs="Tahoma"/>
          <w:sz w:val="20"/>
          <w:szCs w:val="20"/>
        </w:rPr>
        <w:t>l’EIRL.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Paragraphedeliste"/>
        <w:numPr>
          <w:ilvl w:val="0"/>
          <w:numId w:val="1"/>
        </w:numPr>
        <w:tabs>
          <w:tab w:val="left" w:pos="834"/>
        </w:tabs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Mettez en évidence les points communs et les différences entre l’EIRL et la</w:t>
      </w:r>
      <w:r w:rsidRPr="00BF4DB1">
        <w:rPr>
          <w:rFonts w:ascii="Tahoma" w:hAnsi="Tahoma" w:cs="Tahoma"/>
          <w:spacing w:val="-21"/>
          <w:sz w:val="20"/>
          <w:szCs w:val="20"/>
        </w:rPr>
        <w:t xml:space="preserve"> </w:t>
      </w:r>
      <w:r w:rsidRPr="00BF4DB1">
        <w:rPr>
          <w:rFonts w:ascii="Tahoma" w:hAnsi="Tahoma" w:cs="Tahoma"/>
          <w:sz w:val="20"/>
          <w:szCs w:val="20"/>
        </w:rPr>
        <w:t>SARL.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Paragraphedeliste"/>
        <w:numPr>
          <w:ilvl w:val="0"/>
          <w:numId w:val="1"/>
        </w:numPr>
        <w:tabs>
          <w:tab w:val="left" w:pos="900"/>
          <w:tab w:val="left" w:pos="901"/>
        </w:tabs>
        <w:ind w:left="900" w:hanging="427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Expliquez la dernière</w:t>
      </w:r>
      <w:r w:rsidRPr="00BF4DB1">
        <w:rPr>
          <w:rFonts w:ascii="Tahoma" w:hAnsi="Tahoma" w:cs="Tahoma"/>
          <w:sz w:val="20"/>
          <w:szCs w:val="20"/>
        </w:rPr>
        <w:t xml:space="preserve"> phrase du</w:t>
      </w:r>
      <w:r w:rsidRPr="00BF4DB1">
        <w:rPr>
          <w:rFonts w:ascii="Tahoma" w:hAnsi="Tahoma" w:cs="Tahoma"/>
          <w:spacing w:val="-5"/>
          <w:sz w:val="20"/>
          <w:szCs w:val="20"/>
        </w:rPr>
        <w:t xml:space="preserve"> </w:t>
      </w:r>
      <w:r w:rsidRPr="00BF4DB1">
        <w:rPr>
          <w:rFonts w:ascii="Tahoma" w:hAnsi="Tahoma" w:cs="Tahoma"/>
          <w:sz w:val="20"/>
          <w:szCs w:val="20"/>
        </w:rPr>
        <w:t>document.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Default="002F2EA5">
      <w:pPr>
        <w:spacing w:before="185"/>
        <w:ind w:left="112"/>
        <w:rPr>
          <w:rFonts w:ascii="Tahoma" w:hAnsi="Tahoma" w:cs="Tahoma"/>
          <w:b/>
          <w:sz w:val="20"/>
          <w:szCs w:val="20"/>
        </w:rPr>
      </w:pPr>
      <w:r w:rsidRPr="00BF4DB1">
        <w:rPr>
          <w:rFonts w:ascii="Tahoma" w:hAnsi="Tahoma" w:cs="Tahoma"/>
          <w:b/>
          <w:sz w:val="20"/>
          <w:szCs w:val="20"/>
        </w:rPr>
        <w:t>Annexe :</w:t>
      </w:r>
    </w:p>
    <w:p w:rsidR="00BF4DB1" w:rsidRPr="00BF4DB1" w:rsidRDefault="00BF4DB1">
      <w:pPr>
        <w:spacing w:before="185"/>
        <w:ind w:left="112"/>
        <w:rPr>
          <w:rFonts w:ascii="Tahoma" w:hAnsi="Tahoma" w:cs="Tahoma"/>
          <w:b/>
          <w:sz w:val="20"/>
          <w:szCs w:val="20"/>
        </w:rPr>
      </w:pPr>
    </w:p>
    <w:p w:rsidR="00D90DCB" w:rsidRPr="00BF4DB1" w:rsidRDefault="002F2EA5">
      <w:pPr>
        <w:ind w:left="112"/>
        <w:rPr>
          <w:rFonts w:ascii="Tahoma" w:hAnsi="Tahoma" w:cs="Tahoma"/>
          <w:b/>
          <w:sz w:val="20"/>
          <w:szCs w:val="20"/>
        </w:rPr>
      </w:pPr>
      <w:r w:rsidRPr="00BF4DB1">
        <w:rPr>
          <w:rFonts w:ascii="Tahoma" w:hAnsi="Tahoma" w:cs="Tahoma"/>
          <w:b/>
          <w:sz w:val="20"/>
          <w:szCs w:val="20"/>
        </w:rPr>
        <w:t>« L’EIRL, une nouveauté qui devra faire ses preuves » / L’entreprise, janvier 2011</w:t>
      </w:r>
    </w:p>
    <w:p w:rsidR="00D90DCB" w:rsidRPr="00BF4DB1" w:rsidRDefault="00D90DCB">
      <w:pPr>
        <w:rPr>
          <w:rFonts w:ascii="Tahoma" w:hAnsi="Tahoma" w:cs="Tahoma"/>
          <w:sz w:val="20"/>
          <w:szCs w:val="20"/>
        </w:rPr>
        <w:sectPr w:rsidR="00D90DCB" w:rsidRPr="00BF4DB1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D90DCB" w:rsidRPr="00BF4DB1" w:rsidRDefault="002F2EA5">
      <w:pPr>
        <w:spacing w:before="68"/>
        <w:ind w:left="112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b/>
          <w:sz w:val="20"/>
          <w:szCs w:val="20"/>
        </w:rPr>
        <w:lastRenderedPageBreak/>
        <w:t xml:space="preserve">L'EIRL, une nouveauté qui devra faire ses preuves </w:t>
      </w:r>
      <w:r w:rsidRPr="00BF4DB1">
        <w:rPr>
          <w:rFonts w:ascii="Tahoma" w:hAnsi="Tahoma" w:cs="Tahoma"/>
          <w:sz w:val="20"/>
          <w:szCs w:val="20"/>
        </w:rPr>
        <w:t>- l’entreprise janvier 2011</w:t>
      </w:r>
    </w:p>
    <w:p w:rsidR="00D90DCB" w:rsidRPr="00BF4DB1" w:rsidRDefault="00D90DCB">
      <w:pPr>
        <w:pStyle w:val="Corpsdetexte"/>
        <w:spacing w:before="9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Corpsdetexte"/>
        <w:ind w:left="112" w:right="110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La création de l'EIRL se fonde sur le constat que l'entreprise individuelle constitue le mode d'accès à l'entrepreneuriat le plus aisé et le plus prisé, et sur le principe qu'il faut protéger davantage ceux qui se lancent sous cette forme. En fait, dans sa</w:t>
      </w:r>
      <w:r w:rsidRPr="00BF4DB1">
        <w:rPr>
          <w:rFonts w:ascii="Tahoma" w:hAnsi="Tahoma" w:cs="Tahoma"/>
          <w:sz w:val="20"/>
          <w:szCs w:val="20"/>
        </w:rPr>
        <w:t xml:space="preserve"> version définitive, le projet de loi poursuit un triple objectif : diminuer les risques pris par les entrepreneurs individuels ; mais aussi harmoniser les conditions d'exercice de tous les petits entrepreneurs, notamment sur le plan fiscal ; et au final, </w:t>
      </w:r>
      <w:r w:rsidRPr="00BF4DB1">
        <w:rPr>
          <w:rFonts w:ascii="Tahoma" w:hAnsi="Tahoma" w:cs="Tahoma"/>
          <w:sz w:val="20"/>
          <w:szCs w:val="20"/>
        </w:rPr>
        <w:t>grâce à un statut plus protecteur et à une fiscalité plus attractive, stimuler la création d'entreprises individuelles, principal vecteur de la création d'entreprise en France.</w:t>
      </w:r>
    </w:p>
    <w:p w:rsidR="00D90DCB" w:rsidRPr="00BF4DB1" w:rsidRDefault="00D90DCB">
      <w:pPr>
        <w:pStyle w:val="Corpsdetexte"/>
        <w:spacing w:before="1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Corpsdetexte"/>
        <w:spacing w:before="1"/>
        <w:ind w:left="112" w:right="114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Points clés du régime de l'EIRL : l'entrepreneur exercera son activité directe</w:t>
      </w:r>
      <w:r w:rsidRPr="00BF4DB1">
        <w:rPr>
          <w:rFonts w:ascii="Tahoma" w:hAnsi="Tahoma" w:cs="Tahoma"/>
          <w:sz w:val="20"/>
          <w:szCs w:val="20"/>
        </w:rPr>
        <w:t xml:space="preserve">ment, en nom propre, sans qu'il y ait création d'une société ; mais il désignera les biens qu'il désire affecter à la garantie de son activité. "Avec la déclaration d'insaisissabilité, l'entrepreneur individuel déclare ce qu'il veut mettre à l'abri de ses </w:t>
      </w:r>
      <w:r w:rsidRPr="00BF4DB1">
        <w:rPr>
          <w:rFonts w:ascii="Tahoma" w:hAnsi="Tahoma" w:cs="Tahoma"/>
          <w:sz w:val="20"/>
          <w:szCs w:val="20"/>
        </w:rPr>
        <w:t>créanciers professionnels, tandis que, avec l'EIRL, il déclarera ce qu'il veut leur donner en gage</w:t>
      </w:r>
      <w:r w:rsidR="00BF4DB1">
        <w:rPr>
          <w:rStyle w:val="Appelnotedebasdep"/>
          <w:rFonts w:ascii="Tahoma" w:hAnsi="Tahoma" w:cs="Tahoma"/>
          <w:sz w:val="20"/>
          <w:szCs w:val="20"/>
        </w:rPr>
        <w:footnoteReference w:id="1"/>
      </w:r>
      <w:r w:rsidRPr="00BF4DB1">
        <w:rPr>
          <w:rFonts w:ascii="Tahoma" w:hAnsi="Tahoma" w:cs="Tahoma"/>
          <w:sz w:val="20"/>
          <w:szCs w:val="20"/>
        </w:rPr>
        <w:t>, décrypte Jean-François Noël. De quoi se composera ce patrimoine affecté</w:t>
      </w:r>
    </w:p>
    <w:p w:rsidR="00D90DCB" w:rsidRPr="00BF4DB1" w:rsidRDefault="002F2EA5">
      <w:pPr>
        <w:pStyle w:val="Corpsdetexte"/>
        <w:ind w:left="112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?</w:t>
      </w:r>
    </w:p>
    <w:p w:rsidR="00D90DCB" w:rsidRPr="00BF4DB1" w:rsidRDefault="00D90DCB">
      <w:pPr>
        <w:pStyle w:val="Corpsdetexte"/>
        <w:spacing w:before="9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Corpsdetexte"/>
        <w:spacing w:before="1"/>
        <w:ind w:left="112" w:right="112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>La loi stipule qu'il comprendra d'office "l'ensemble des biens nécessaires à l'exercice de l'activité", auxquels pourront s'ajouter, si l'entrepreneur le souhaite, des biens "utilisés pour l'exercice de l'activité". Pour constituer un patrimoine affecté, l</w:t>
      </w:r>
      <w:r w:rsidRPr="00BF4DB1">
        <w:rPr>
          <w:rFonts w:ascii="Tahoma" w:hAnsi="Tahoma" w:cs="Tahoma"/>
          <w:sz w:val="20"/>
          <w:szCs w:val="20"/>
        </w:rPr>
        <w:t xml:space="preserve">'entrepreneur devra déposer auprès du registre de publicité légale dont il dépend une déclaration donnant la liste des biens affectés et indiquant la valeur de chacun. Autre caractéristique majeure : à la différence des entrepreneurs individuels, qui sont </w:t>
      </w:r>
      <w:r w:rsidRPr="00BF4DB1">
        <w:rPr>
          <w:rFonts w:ascii="Tahoma" w:hAnsi="Tahoma" w:cs="Tahoma"/>
          <w:sz w:val="20"/>
          <w:szCs w:val="20"/>
        </w:rPr>
        <w:t>obligatoirement soumis à l'impôt sur le revenu, les EIRL pourront opter pour l'impôt sur les sociétés. "Le projet de loi relatif à l'EIRL vise à créer une forme juridique simple et limitant les risques des petits entrepreneurs, fait remarquer Christophe</w:t>
      </w:r>
      <w:r w:rsidRPr="00BF4DB1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BF4DB1">
        <w:rPr>
          <w:rFonts w:ascii="Tahoma" w:hAnsi="Tahoma" w:cs="Tahoma"/>
          <w:sz w:val="20"/>
          <w:szCs w:val="20"/>
        </w:rPr>
        <w:t>Al</w:t>
      </w:r>
      <w:r w:rsidRPr="00BF4DB1">
        <w:rPr>
          <w:rFonts w:ascii="Tahoma" w:hAnsi="Tahoma" w:cs="Tahoma"/>
          <w:sz w:val="20"/>
          <w:szCs w:val="20"/>
        </w:rPr>
        <w:t>berola</w:t>
      </w:r>
      <w:proofErr w:type="spellEnd"/>
      <w:r w:rsidRPr="00BF4DB1">
        <w:rPr>
          <w:rFonts w:ascii="Tahoma" w:hAnsi="Tahoma" w:cs="Tahoma"/>
          <w:sz w:val="20"/>
          <w:szCs w:val="20"/>
        </w:rPr>
        <w:t>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Corpsdetexte"/>
        <w:ind w:left="112" w:right="108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 xml:space="preserve">Or, dans la pratique, aucun de ces objectifs ne paraît en mesure d'être atteint." La recherche de simplicité ? Il suffit de lire attentivement le projet de loi pour se rendre compte qu'il soumet l'entrepreneur à un paquet de contraintes et recèle </w:t>
      </w:r>
      <w:r w:rsidRPr="00BF4DB1">
        <w:rPr>
          <w:rFonts w:ascii="Tahoma" w:hAnsi="Tahoma" w:cs="Tahoma"/>
          <w:sz w:val="20"/>
          <w:szCs w:val="20"/>
        </w:rPr>
        <w:t xml:space="preserve">une quantité de zones d'ombre. </w:t>
      </w:r>
      <w:proofErr w:type="gramStart"/>
      <w:r w:rsidRPr="00BF4DB1">
        <w:rPr>
          <w:rFonts w:ascii="Tahoma" w:hAnsi="Tahoma" w:cs="Tahoma"/>
          <w:sz w:val="20"/>
          <w:szCs w:val="20"/>
        </w:rPr>
        <w:t>A elle</w:t>
      </w:r>
      <w:proofErr w:type="gramEnd"/>
      <w:r w:rsidRPr="00BF4DB1">
        <w:rPr>
          <w:rFonts w:ascii="Tahoma" w:hAnsi="Tahoma" w:cs="Tahoma"/>
          <w:sz w:val="20"/>
          <w:szCs w:val="20"/>
        </w:rPr>
        <w:t xml:space="preserve"> seule, la valorisation des biens affectés constituera un casse-tête. L'estimation d'un bien pourra être faite librement par l'entrepreneur jusqu'à un certain montant unitaire (qui reste à fixer par décret, et devrait ê</w:t>
      </w:r>
      <w:r w:rsidRPr="00BF4DB1">
        <w:rPr>
          <w:rFonts w:ascii="Tahoma" w:hAnsi="Tahoma" w:cs="Tahoma"/>
          <w:sz w:val="20"/>
          <w:szCs w:val="20"/>
        </w:rPr>
        <w:t xml:space="preserve">tre de 30 000 euros). Au-delà, l'EIRL devra faire établir une évaluation par un expert (commissaire aux comptes, expert-comptable...), mais il pourra retenir dans sa déclaration d'affectation une valeur différente de celle proposée par l'expert... Avec un </w:t>
      </w:r>
      <w:r w:rsidRPr="00BF4DB1">
        <w:rPr>
          <w:rFonts w:ascii="Tahoma" w:hAnsi="Tahoma" w:cs="Tahoma"/>
          <w:sz w:val="20"/>
          <w:szCs w:val="20"/>
        </w:rPr>
        <w:t>sacré risque à la clé : si l'entrepreneur décide de se passer de l'avis d'un expert (pour un bien évalué à moins de 30 000 euros), ou de valoriser un bien à un montant supérieur à celui proposé par l'expert, il sera "responsable pendant une durée de cinq a</w:t>
      </w:r>
      <w:r w:rsidRPr="00BF4DB1">
        <w:rPr>
          <w:rFonts w:ascii="Tahoma" w:hAnsi="Tahoma" w:cs="Tahoma"/>
          <w:sz w:val="20"/>
          <w:szCs w:val="20"/>
        </w:rPr>
        <w:t xml:space="preserve">ns à l'égard des tiers sur la totalité de son </w:t>
      </w:r>
      <w:proofErr w:type="gramStart"/>
      <w:r w:rsidRPr="00BF4DB1">
        <w:rPr>
          <w:rFonts w:ascii="Tahoma" w:hAnsi="Tahoma" w:cs="Tahoma"/>
          <w:sz w:val="20"/>
          <w:szCs w:val="20"/>
        </w:rPr>
        <w:t>patrimoine,  de</w:t>
      </w:r>
      <w:proofErr w:type="gramEnd"/>
      <w:r w:rsidRPr="00BF4DB1">
        <w:rPr>
          <w:rFonts w:ascii="Tahoma" w:hAnsi="Tahoma" w:cs="Tahoma"/>
          <w:sz w:val="20"/>
          <w:szCs w:val="20"/>
        </w:rPr>
        <w:t xml:space="preserve"> la différence entre la valeur réelle du bien et la valeur</w:t>
      </w:r>
      <w:r w:rsidRPr="00BF4DB1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F4DB1">
        <w:rPr>
          <w:rFonts w:ascii="Tahoma" w:hAnsi="Tahoma" w:cs="Tahoma"/>
          <w:sz w:val="20"/>
          <w:szCs w:val="20"/>
        </w:rPr>
        <w:t>déclarée"..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2F2EA5">
      <w:pPr>
        <w:pStyle w:val="Corpsdetexte"/>
        <w:ind w:left="112" w:right="110"/>
        <w:jc w:val="both"/>
        <w:rPr>
          <w:rFonts w:ascii="Tahoma" w:hAnsi="Tahoma" w:cs="Tahoma"/>
          <w:sz w:val="20"/>
          <w:szCs w:val="20"/>
        </w:rPr>
      </w:pPr>
      <w:r w:rsidRPr="00BF4DB1">
        <w:rPr>
          <w:rFonts w:ascii="Tahoma" w:hAnsi="Tahoma" w:cs="Tahoma"/>
          <w:sz w:val="20"/>
          <w:szCs w:val="20"/>
        </w:rPr>
        <w:t xml:space="preserve">Le nouveau statut ne s'annonce guère plus apte à réduire le risque personnel pris par l'entrepreneur. "L'EIRL n'apportera </w:t>
      </w:r>
      <w:r w:rsidRPr="00BF4DB1">
        <w:rPr>
          <w:rFonts w:ascii="Tahoma" w:hAnsi="Tahoma" w:cs="Tahoma"/>
          <w:sz w:val="20"/>
          <w:szCs w:val="20"/>
        </w:rPr>
        <w:t xml:space="preserve">rien de plus que la déclaration d'insaisissabilité, estime Christophe </w:t>
      </w:r>
      <w:proofErr w:type="spellStart"/>
      <w:r w:rsidRPr="00BF4DB1">
        <w:rPr>
          <w:rFonts w:ascii="Tahoma" w:hAnsi="Tahoma" w:cs="Tahoma"/>
          <w:sz w:val="20"/>
          <w:szCs w:val="20"/>
        </w:rPr>
        <w:t>Alberola</w:t>
      </w:r>
      <w:proofErr w:type="spellEnd"/>
      <w:r w:rsidRPr="00BF4DB1">
        <w:rPr>
          <w:rFonts w:ascii="Tahoma" w:hAnsi="Tahoma" w:cs="Tahoma"/>
          <w:sz w:val="20"/>
          <w:szCs w:val="20"/>
        </w:rPr>
        <w:t xml:space="preserve">. </w:t>
      </w:r>
      <w:r w:rsidRPr="00BF4DB1">
        <w:rPr>
          <w:rFonts w:ascii="Tahoma" w:hAnsi="Tahoma" w:cs="Tahoma"/>
          <w:sz w:val="20"/>
          <w:szCs w:val="20"/>
          <w:u w:val="single"/>
        </w:rPr>
        <w:t>De toute façon, il ne faut pas se leurrer : qu'on se lance en EIRL, en EURL,</w:t>
      </w:r>
      <w:r w:rsidRPr="00BF4DB1">
        <w:rPr>
          <w:rFonts w:ascii="Tahoma" w:hAnsi="Tahoma" w:cs="Tahoma"/>
          <w:sz w:val="20"/>
          <w:szCs w:val="20"/>
          <w:u w:val="single"/>
        </w:rPr>
        <w:t xml:space="preserve"> </w:t>
      </w:r>
      <w:r w:rsidRPr="00BF4DB1">
        <w:rPr>
          <w:rFonts w:ascii="Tahoma" w:hAnsi="Tahoma" w:cs="Tahoma"/>
          <w:sz w:val="20"/>
          <w:szCs w:val="20"/>
          <w:u w:val="single"/>
        </w:rPr>
        <w:t>en SARL ou en SA, le seul facteur qui détermine réellement le risque personnel pris par le chef</w:t>
      </w:r>
      <w:r w:rsidRPr="00BF4DB1">
        <w:rPr>
          <w:rFonts w:ascii="Tahoma" w:hAnsi="Tahoma" w:cs="Tahoma"/>
          <w:sz w:val="20"/>
          <w:szCs w:val="20"/>
          <w:u w:val="single"/>
        </w:rPr>
        <w:t xml:space="preserve"> d'e</w:t>
      </w:r>
      <w:r w:rsidRPr="00BF4DB1">
        <w:rPr>
          <w:rFonts w:ascii="Tahoma" w:hAnsi="Tahoma" w:cs="Tahoma"/>
          <w:sz w:val="20"/>
          <w:szCs w:val="20"/>
          <w:u w:val="single"/>
        </w:rPr>
        <w:t>ntreprise, c'est l'ampleur des cautions</w:t>
      </w:r>
      <w:r w:rsidRPr="00BF4DB1">
        <w:rPr>
          <w:rFonts w:ascii="Tahoma" w:hAnsi="Tahoma" w:cs="Tahoma"/>
          <w:sz w:val="20"/>
          <w:szCs w:val="20"/>
          <w:u w:val="single"/>
          <w:vertAlign w:val="superscript"/>
        </w:rPr>
        <w:t>1</w:t>
      </w:r>
      <w:r w:rsidRPr="00BF4DB1">
        <w:rPr>
          <w:rFonts w:ascii="Tahoma" w:hAnsi="Tahoma" w:cs="Tahoma"/>
          <w:sz w:val="20"/>
          <w:szCs w:val="20"/>
          <w:u w:val="single"/>
        </w:rPr>
        <w:t xml:space="preserve"> qu'il accorde aux créanciers." A commencer par les </w:t>
      </w:r>
      <w:r w:rsidRPr="00BF4DB1">
        <w:rPr>
          <w:rFonts w:ascii="Tahoma" w:hAnsi="Tahoma" w:cs="Tahoma"/>
          <w:sz w:val="20"/>
          <w:szCs w:val="20"/>
          <w:u w:val="single"/>
        </w:rPr>
        <w:t>banquiers.</w:t>
      </w: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pStyle w:val="Corpsdetexte"/>
        <w:spacing w:before="9"/>
        <w:rPr>
          <w:rFonts w:ascii="Tahoma" w:hAnsi="Tahoma" w:cs="Tahoma"/>
          <w:sz w:val="20"/>
          <w:szCs w:val="20"/>
        </w:rPr>
      </w:pPr>
    </w:p>
    <w:p w:rsidR="00D90DCB" w:rsidRPr="00BF4DB1" w:rsidRDefault="00D90DCB">
      <w:pPr>
        <w:spacing w:before="50"/>
        <w:ind w:left="112"/>
        <w:rPr>
          <w:rFonts w:ascii="Tahoma" w:hAnsi="Tahoma" w:cs="Tahoma"/>
          <w:sz w:val="20"/>
          <w:szCs w:val="20"/>
        </w:rPr>
      </w:pPr>
    </w:p>
    <w:sectPr w:rsidR="00D90DCB" w:rsidRPr="00BF4DB1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A5" w:rsidRDefault="002F2EA5" w:rsidP="00BF4DB1">
      <w:r>
        <w:separator/>
      </w:r>
    </w:p>
  </w:endnote>
  <w:endnote w:type="continuationSeparator" w:id="0">
    <w:p w:rsidR="002F2EA5" w:rsidRDefault="002F2EA5" w:rsidP="00BF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A5" w:rsidRDefault="002F2EA5" w:rsidP="00BF4DB1">
      <w:r>
        <w:separator/>
      </w:r>
    </w:p>
  </w:footnote>
  <w:footnote w:type="continuationSeparator" w:id="0">
    <w:p w:rsidR="002F2EA5" w:rsidRDefault="002F2EA5" w:rsidP="00BF4DB1">
      <w:r>
        <w:continuationSeparator/>
      </w:r>
    </w:p>
  </w:footnote>
  <w:footnote w:id="1">
    <w:p w:rsidR="00BF4DB1" w:rsidRDefault="00BF4DB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F4DB1">
        <w:rPr>
          <w:rFonts w:ascii="Tahoma" w:hAnsi="Tahoma" w:cs="Tahoma"/>
        </w:rPr>
        <w:t>Gage et cautionnement sont des formes de garantie exigées par des créanciers (ex : banques) en contrepartie d’un prêt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4B70"/>
    <w:multiLevelType w:val="hybridMultilevel"/>
    <w:tmpl w:val="483C8BEC"/>
    <w:lvl w:ilvl="0" w:tplc="85580162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Arial" w:hAnsi="Tahoma" w:cs="Tahoma" w:hint="default"/>
        <w:spacing w:val="-3"/>
        <w:w w:val="99"/>
        <w:sz w:val="20"/>
        <w:szCs w:val="20"/>
        <w:lang w:val="fr-FR" w:eastAsia="fr-FR" w:bidi="fr-FR"/>
      </w:rPr>
    </w:lvl>
    <w:lvl w:ilvl="1" w:tplc="B0483534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7BEA44D4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00A61852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649646D6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034CE43E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E458AF3A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B78E686C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635AD6E0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CB"/>
    <w:rsid w:val="002F2EA5"/>
    <w:rsid w:val="00BF4DB1"/>
    <w:rsid w:val="00D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4E86"/>
  <w15:docId w15:val="{B82E9DBD-F3D5-4C24-AA5E-5C16881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172" w:right="2172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BF4DB1"/>
    <w:pPr>
      <w:widowControl/>
      <w:pBdr>
        <w:bottom w:val="single" w:sz="8" w:space="4" w:color="4F81BD"/>
      </w:pBdr>
      <w:autoSpaceDE/>
      <w:autoSpaceDN/>
      <w:spacing w:before="120" w:after="300"/>
      <w:contextualSpacing/>
      <w:jc w:val="both"/>
    </w:pPr>
    <w:rPr>
      <w:rFonts w:ascii="Cambria" w:eastAsia="Times New Roman" w:hAnsi="Cambria" w:cs="Calibri"/>
      <w:color w:val="17365D"/>
      <w:spacing w:val="5"/>
      <w:kern w:val="28"/>
      <w:sz w:val="52"/>
      <w:szCs w:val="52"/>
      <w:lang w:bidi="ar-SA"/>
    </w:rPr>
  </w:style>
  <w:style w:type="character" w:customStyle="1" w:styleId="TitreCar">
    <w:name w:val="Titre Car"/>
    <w:basedOn w:val="Policepardfaut"/>
    <w:link w:val="Titre"/>
    <w:uiPriority w:val="10"/>
    <w:rsid w:val="00BF4DB1"/>
    <w:rPr>
      <w:rFonts w:ascii="Cambria" w:eastAsia="Times New Roman" w:hAnsi="Cambria" w:cs="Calibri"/>
      <w:color w:val="17365D"/>
      <w:spacing w:val="5"/>
      <w:kern w:val="28"/>
      <w:sz w:val="52"/>
      <w:szCs w:val="5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D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DB1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BF4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A970-3C9A-4034-83E0-161F5129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www.stgcfe.fr - www.stmg.education</cp:lastModifiedBy>
  <cp:revision>2</cp:revision>
  <dcterms:created xsi:type="dcterms:W3CDTF">2018-03-04T04:39:00Z</dcterms:created>
  <dcterms:modified xsi:type="dcterms:W3CDTF">2018-03-04T04:42:00Z</dcterms:modified>
</cp:coreProperties>
</file>