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23" w:rsidRDefault="00637723">
      <w:pPr>
        <w:pStyle w:val="Corpsdetexte"/>
        <w:rPr>
          <w:sz w:val="22"/>
        </w:rPr>
      </w:pPr>
    </w:p>
    <w:p w:rsidR="0026280C" w:rsidRDefault="0026280C" w:rsidP="0026280C">
      <w:pPr>
        <w:pStyle w:val="Titre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2013 – SUJET N° 11</w:t>
      </w:r>
    </w:p>
    <w:p w:rsidR="00637723" w:rsidRDefault="00637723">
      <w:pPr>
        <w:pStyle w:val="Corpsdetexte"/>
        <w:rPr>
          <w:b/>
          <w:sz w:val="26"/>
        </w:rPr>
      </w:pPr>
    </w:p>
    <w:p w:rsidR="00637723" w:rsidRDefault="00637723">
      <w:pPr>
        <w:pStyle w:val="Corpsdetexte"/>
        <w:rPr>
          <w:b/>
          <w:sz w:val="26"/>
        </w:rPr>
      </w:pPr>
    </w:p>
    <w:p w:rsidR="00637723" w:rsidRDefault="00637723">
      <w:pPr>
        <w:pStyle w:val="Corpsdetexte"/>
        <w:rPr>
          <w:b/>
          <w:sz w:val="26"/>
        </w:rPr>
      </w:pPr>
    </w:p>
    <w:p w:rsidR="00637723" w:rsidRPr="0026280C" w:rsidRDefault="007301BE">
      <w:pPr>
        <w:spacing w:before="207"/>
        <w:ind w:left="118" w:right="684"/>
        <w:rPr>
          <w:rFonts w:ascii="Tahoma" w:hAnsi="Tahoma" w:cs="Tahoma"/>
          <w:b/>
          <w:sz w:val="20"/>
          <w:szCs w:val="20"/>
        </w:rPr>
      </w:pPr>
      <w:r w:rsidRPr="0026280C">
        <w:rPr>
          <w:rFonts w:ascii="Tahoma" w:hAnsi="Tahoma" w:cs="Tahoma"/>
          <w:b/>
          <w:sz w:val="20"/>
          <w:szCs w:val="20"/>
        </w:rPr>
        <w:t>À partir des documents fournis en annexe, vous traiterez les questions qui suivent.</w:t>
      </w:r>
    </w:p>
    <w:p w:rsidR="00637723" w:rsidRPr="0026280C" w:rsidRDefault="00637723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637723" w:rsidRPr="0026280C" w:rsidRDefault="00637723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26280C" w:rsidRPr="006326C2" w:rsidRDefault="007301BE" w:rsidP="00E27FBD">
      <w:pPr>
        <w:pStyle w:val="Corpsdetexte"/>
        <w:numPr>
          <w:ilvl w:val="0"/>
          <w:numId w:val="2"/>
        </w:numPr>
        <w:spacing w:line="480" w:lineRule="auto"/>
        <w:ind w:right="684"/>
        <w:rPr>
          <w:rFonts w:ascii="Tahoma" w:hAnsi="Tahoma" w:cs="Tahoma"/>
          <w:b/>
          <w:sz w:val="20"/>
          <w:szCs w:val="20"/>
        </w:rPr>
      </w:pPr>
      <w:r w:rsidRPr="006326C2">
        <w:rPr>
          <w:rFonts w:ascii="Tahoma" w:hAnsi="Tahoma" w:cs="Tahoma"/>
          <w:b/>
          <w:sz w:val="20"/>
          <w:szCs w:val="20"/>
        </w:rPr>
        <w:t xml:space="preserve">Identifiez la juridiction qui a pris la décision fournie en annexe. Expliquez son rôle. </w:t>
      </w:r>
    </w:p>
    <w:p w:rsidR="00637723" w:rsidRDefault="007301BE" w:rsidP="00E27FBD">
      <w:pPr>
        <w:pStyle w:val="Corpsdetexte"/>
        <w:numPr>
          <w:ilvl w:val="0"/>
          <w:numId w:val="2"/>
        </w:numPr>
        <w:spacing w:line="480" w:lineRule="auto"/>
        <w:ind w:right="684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326C2">
        <w:rPr>
          <w:rFonts w:ascii="Tahoma" w:hAnsi="Tahoma" w:cs="Tahoma"/>
          <w:b/>
          <w:sz w:val="20"/>
          <w:szCs w:val="20"/>
        </w:rPr>
        <w:t>Décrivez la procédure antérieure.</w:t>
      </w:r>
    </w:p>
    <w:p w:rsidR="00E27FBD" w:rsidRDefault="00E27FBD" w:rsidP="00E27FBD">
      <w:pPr>
        <w:pStyle w:val="Paragraphedeliste"/>
        <w:numPr>
          <w:ilvl w:val="0"/>
          <w:numId w:val="2"/>
        </w:numPr>
        <w:tabs>
          <w:tab w:val="left" w:pos="709"/>
        </w:tabs>
        <w:rPr>
          <w:rFonts w:ascii="Tahoma" w:hAnsi="Tahoma" w:cs="Tahoma"/>
          <w:b/>
          <w:sz w:val="20"/>
          <w:szCs w:val="20"/>
        </w:rPr>
      </w:pPr>
      <w:r w:rsidRPr="006326C2">
        <w:rPr>
          <w:rFonts w:ascii="Tahoma" w:hAnsi="Tahoma" w:cs="Tahoma"/>
          <w:b/>
          <w:sz w:val="20"/>
          <w:szCs w:val="20"/>
        </w:rPr>
        <w:t>Indiquez la problématique de cette</w:t>
      </w:r>
      <w:r w:rsidRPr="006326C2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6326C2">
        <w:rPr>
          <w:rFonts w:ascii="Tahoma" w:hAnsi="Tahoma" w:cs="Tahoma"/>
          <w:b/>
          <w:sz w:val="20"/>
          <w:szCs w:val="20"/>
        </w:rPr>
        <w:t>décision.</w:t>
      </w:r>
    </w:p>
    <w:p w:rsidR="00E27FBD" w:rsidRPr="00E27FBD" w:rsidRDefault="00E27FBD" w:rsidP="00E27FBD">
      <w:pPr>
        <w:pStyle w:val="Paragraphedeliste"/>
        <w:tabs>
          <w:tab w:val="left" w:pos="709"/>
        </w:tabs>
        <w:ind w:left="478" w:firstLine="0"/>
        <w:rPr>
          <w:rFonts w:ascii="Tahoma" w:hAnsi="Tahoma" w:cs="Tahoma"/>
          <w:b/>
          <w:sz w:val="20"/>
          <w:szCs w:val="20"/>
        </w:rPr>
      </w:pPr>
    </w:p>
    <w:p w:rsidR="00E27FBD" w:rsidRDefault="00E27FBD" w:rsidP="00E27FBD">
      <w:pPr>
        <w:pStyle w:val="Paragraphedeliste"/>
        <w:numPr>
          <w:ilvl w:val="0"/>
          <w:numId w:val="2"/>
        </w:numPr>
        <w:tabs>
          <w:tab w:val="left" w:pos="709"/>
        </w:tabs>
        <w:rPr>
          <w:rFonts w:ascii="Tahoma" w:hAnsi="Tahoma" w:cs="Tahoma"/>
          <w:b/>
          <w:sz w:val="20"/>
          <w:szCs w:val="20"/>
        </w:rPr>
      </w:pPr>
      <w:r w:rsidRPr="006326C2">
        <w:rPr>
          <w:rFonts w:ascii="Tahoma" w:hAnsi="Tahoma" w:cs="Tahoma"/>
          <w:b/>
          <w:sz w:val="20"/>
          <w:szCs w:val="20"/>
        </w:rPr>
        <w:t>Précisez et expliquez la décision rendue par la cour de</w:t>
      </w:r>
      <w:r w:rsidRPr="006326C2">
        <w:rPr>
          <w:rFonts w:ascii="Tahoma" w:hAnsi="Tahoma" w:cs="Tahoma"/>
          <w:b/>
          <w:spacing w:val="-14"/>
          <w:sz w:val="20"/>
          <w:szCs w:val="20"/>
        </w:rPr>
        <w:t xml:space="preserve"> </w:t>
      </w:r>
      <w:r w:rsidRPr="006326C2">
        <w:rPr>
          <w:rFonts w:ascii="Tahoma" w:hAnsi="Tahoma" w:cs="Tahoma"/>
          <w:b/>
          <w:sz w:val="20"/>
          <w:szCs w:val="20"/>
        </w:rPr>
        <w:t>cassation.</w:t>
      </w:r>
    </w:p>
    <w:p w:rsidR="00E27FBD" w:rsidRPr="00E27FBD" w:rsidRDefault="00E27FBD" w:rsidP="00E27FBD">
      <w:pPr>
        <w:pStyle w:val="Paragraphedeliste"/>
        <w:rPr>
          <w:rFonts w:ascii="Tahoma" w:hAnsi="Tahoma" w:cs="Tahoma"/>
          <w:b/>
          <w:sz w:val="20"/>
          <w:szCs w:val="20"/>
        </w:rPr>
      </w:pPr>
    </w:p>
    <w:p w:rsidR="00E27FBD" w:rsidRPr="006326C2" w:rsidRDefault="00E27FBD" w:rsidP="00E27FBD">
      <w:pPr>
        <w:pStyle w:val="Paragraphedeliste"/>
        <w:numPr>
          <w:ilvl w:val="0"/>
          <w:numId w:val="2"/>
        </w:numPr>
        <w:tabs>
          <w:tab w:val="left" w:pos="709"/>
        </w:tabs>
        <w:spacing w:before="0"/>
        <w:rPr>
          <w:rFonts w:ascii="Tahoma" w:hAnsi="Tahoma" w:cs="Tahoma"/>
          <w:b/>
          <w:sz w:val="20"/>
          <w:szCs w:val="20"/>
        </w:rPr>
      </w:pPr>
      <w:r w:rsidRPr="006326C2">
        <w:rPr>
          <w:rFonts w:ascii="Tahoma" w:hAnsi="Tahoma" w:cs="Tahoma"/>
          <w:b/>
          <w:sz w:val="20"/>
          <w:szCs w:val="20"/>
        </w:rPr>
        <w:t>Distinguez la responsabilité délictuelle de la responsabilité</w:t>
      </w:r>
      <w:r w:rsidRPr="006326C2">
        <w:rPr>
          <w:rFonts w:ascii="Tahoma" w:hAnsi="Tahoma" w:cs="Tahoma"/>
          <w:b/>
          <w:spacing w:val="-8"/>
          <w:sz w:val="20"/>
          <w:szCs w:val="20"/>
        </w:rPr>
        <w:t xml:space="preserve"> </w:t>
      </w:r>
      <w:r w:rsidRPr="006326C2">
        <w:rPr>
          <w:rFonts w:ascii="Tahoma" w:hAnsi="Tahoma" w:cs="Tahoma"/>
          <w:b/>
          <w:sz w:val="20"/>
          <w:szCs w:val="20"/>
        </w:rPr>
        <w:t>contractuelle.</w:t>
      </w:r>
    </w:p>
    <w:p w:rsidR="00E27FBD" w:rsidRPr="006326C2" w:rsidRDefault="00E27FBD" w:rsidP="00E27FBD">
      <w:pPr>
        <w:pStyle w:val="Paragraphedeliste"/>
        <w:tabs>
          <w:tab w:val="left" w:pos="709"/>
        </w:tabs>
        <w:ind w:left="478" w:firstLine="0"/>
        <w:rPr>
          <w:rFonts w:ascii="Tahoma" w:hAnsi="Tahoma" w:cs="Tahoma"/>
          <w:b/>
          <w:sz w:val="20"/>
          <w:szCs w:val="20"/>
        </w:rPr>
      </w:pPr>
    </w:p>
    <w:p w:rsidR="00E27FBD" w:rsidRPr="00E27FBD" w:rsidRDefault="00E27FBD" w:rsidP="00E27FBD">
      <w:pPr>
        <w:pStyle w:val="Paragraphedeliste"/>
        <w:tabs>
          <w:tab w:val="left" w:pos="709"/>
        </w:tabs>
        <w:ind w:left="478" w:firstLine="0"/>
        <w:rPr>
          <w:rFonts w:ascii="Tahoma" w:hAnsi="Tahoma" w:cs="Tahoma"/>
          <w:b/>
          <w:sz w:val="20"/>
          <w:szCs w:val="20"/>
        </w:rPr>
      </w:pPr>
    </w:p>
    <w:p w:rsidR="00637723" w:rsidRPr="006326C2" w:rsidRDefault="00637723" w:rsidP="006326C2">
      <w:pPr>
        <w:pStyle w:val="Corpsdetexte"/>
        <w:tabs>
          <w:tab w:val="left" w:pos="709"/>
        </w:tabs>
        <w:spacing w:before="8"/>
        <w:ind w:left="567" w:hanging="449"/>
        <w:rPr>
          <w:rFonts w:ascii="Tahoma" w:hAnsi="Tahoma" w:cs="Tahoma"/>
          <w:b/>
          <w:sz w:val="20"/>
          <w:szCs w:val="20"/>
        </w:rPr>
      </w:pPr>
    </w:p>
    <w:p w:rsidR="00637723" w:rsidRPr="006326C2" w:rsidRDefault="00637723" w:rsidP="006326C2">
      <w:pPr>
        <w:pStyle w:val="Corpsdetexte"/>
        <w:tabs>
          <w:tab w:val="left" w:pos="709"/>
        </w:tabs>
        <w:ind w:left="567" w:hanging="449"/>
        <w:rPr>
          <w:rFonts w:ascii="Tahoma" w:hAnsi="Tahoma" w:cs="Tahoma"/>
          <w:b/>
          <w:sz w:val="20"/>
          <w:szCs w:val="20"/>
        </w:rPr>
      </w:pPr>
    </w:p>
    <w:p w:rsidR="00637723" w:rsidRPr="006326C2" w:rsidRDefault="00637723">
      <w:pPr>
        <w:rPr>
          <w:rFonts w:ascii="Tahoma" w:hAnsi="Tahoma" w:cs="Tahoma"/>
          <w:b/>
          <w:sz w:val="20"/>
          <w:szCs w:val="20"/>
        </w:rPr>
        <w:sectPr w:rsidR="00637723" w:rsidRPr="006326C2">
          <w:type w:val="continuous"/>
          <w:pgSz w:w="11910" w:h="16840"/>
          <w:pgMar w:top="1320" w:right="840" w:bottom="280" w:left="1300" w:header="720" w:footer="720" w:gutter="0"/>
          <w:cols w:space="720"/>
        </w:sectPr>
      </w:pPr>
    </w:p>
    <w:p w:rsidR="00637723" w:rsidRDefault="007301BE">
      <w:pPr>
        <w:pStyle w:val="Titre1"/>
        <w:spacing w:before="75"/>
        <w:ind w:left="2033" w:right="2209"/>
        <w:jc w:val="center"/>
      </w:pPr>
      <w:r>
        <w:lastRenderedPageBreak/>
        <w:t>NNEXE</w:t>
      </w:r>
    </w:p>
    <w:p w:rsidR="00637723" w:rsidRDefault="00637723">
      <w:pPr>
        <w:pStyle w:val="Corpsdetexte"/>
        <w:rPr>
          <w:b/>
          <w:sz w:val="16"/>
        </w:rPr>
      </w:pPr>
    </w:p>
    <w:p w:rsidR="00637723" w:rsidRPr="0026280C" w:rsidRDefault="007301BE">
      <w:pPr>
        <w:spacing w:before="93"/>
        <w:ind w:left="118"/>
        <w:rPr>
          <w:rFonts w:ascii="Tahoma" w:hAnsi="Tahoma" w:cs="Tahoma"/>
          <w:b/>
          <w:sz w:val="20"/>
          <w:szCs w:val="20"/>
        </w:rPr>
      </w:pPr>
      <w:r w:rsidRPr="0026280C">
        <w:rPr>
          <w:rFonts w:ascii="Tahoma" w:hAnsi="Tahoma" w:cs="Tahoma"/>
          <w:b/>
          <w:sz w:val="20"/>
          <w:szCs w:val="20"/>
          <w:u w:val="thick"/>
        </w:rPr>
        <w:t>Document 1</w:t>
      </w:r>
      <w:r w:rsidRPr="0026280C">
        <w:rPr>
          <w:rFonts w:ascii="Tahoma" w:hAnsi="Tahoma" w:cs="Tahoma"/>
          <w:b/>
          <w:sz w:val="20"/>
          <w:szCs w:val="20"/>
        </w:rPr>
        <w:t>.</w:t>
      </w:r>
    </w:p>
    <w:p w:rsidR="00637723" w:rsidRPr="0026280C" w:rsidRDefault="00637723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637723" w:rsidRPr="0026280C" w:rsidRDefault="007301BE">
      <w:pPr>
        <w:tabs>
          <w:tab w:val="left" w:pos="2667"/>
        </w:tabs>
        <w:spacing w:before="92"/>
        <w:ind w:left="118"/>
        <w:rPr>
          <w:rFonts w:ascii="Tahoma" w:hAnsi="Tahoma" w:cs="Tahoma"/>
          <w:b/>
          <w:sz w:val="20"/>
          <w:szCs w:val="20"/>
        </w:rPr>
      </w:pPr>
      <w:r w:rsidRPr="0026280C">
        <w:rPr>
          <w:rFonts w:ascii="Tahoma" w:hAnsi="Tahoma" w:cs="Tahoma"/>
          <w:b/>
          <w:sz w:val="20"/>
          <w:szCs w:val="20"/>
        </w:rPr>
        <w:t>Arrêt du 30</w:t>
      </w:r>
      <w:r w:rsidRPr="0026280C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26280C">
        <w:rPr>
          <w:rFonts w:ascii="Tahoma" w:hAnsi="Tahoma" w:cs="Tahoma"/>
          <w:b/>
          <w:sz w:val="20"/>
          <w:szCs w:val="20"/>
        </w:rPr>
        <w:t>mai</w:t>
      </w:r>
      <w:r w:rsidRPr="0026280C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26280C">
        <w:rPr>
          <w:rFonts w:ascii="Tahoma" w:hAnsi="Tahoma" w:cs="Tahoma"/>
          <w:b/>
          <w:sz w:val="20"/>
          <w:szCs w:val="20"/>
        </w:rPr>
        <w:t>2006</w:t>
      </w:r>
      <w:r w:rsidRPr="0026280C">
        <w:rPr>
          <w:rFonts w:ascii="Tahoma" w:hAnsi="Tahoma" w:cs="Tahoma"/>
          <w:b/>
          <w:sz w:val="20"/>
          <w:szCs w:val="20"/>
        </w:rPr>
        <w:tab/>
        <w:t>Cour de cassation - Chambre</w:t>
      </w:r>
      <w:r w:rsidRPr="0026280C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26280C">
        <w:rPr>
          <w:rFonts w:ascii="Tahoma" w:hAnsi="Tahoma" w:cs="Tahoma"/>
          <w:b/>
          <w:sz w:val="20"/>
          <w:szCs w:val="20"/>
        </w:rPr>
        <w:t>commerciale</w:t>
      </w:r>
    </w:p>
    <w:p w:rsidR="00637723" w:rsidRPr="0026280C" w:rsidRDefault="00637723">
      <w:pPr>
        <w:pStyle w:val="Corpsdetexte"/>
        <w:rPr>
          <w:rFonts w:ascii="Tahoma" w:hAnsi="Tahoma" w:cs="Tahoma"/>
          <w:b/>
          <w:sz w:val="20"/>
          <w:szCs w:val="20"/>
        </w:rPr>
      </w:pPr>
    </w:p>
    <w:p w:rsidR="00637723" w:rsidRPr="0026280C" w:rsidRDefault="00EB7847">
      <w:pPr>
        <w:pStyle w:val="Corpsdetext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line id="_x0000_s1030" style="position:absolute;z-index:251656704;mso-wrap-distance-left:0;mso-wrap-distance-right:0;mso-position-horizontal-relative:page" from="70.95pt,15.6pt" to="537.65pt,15.6pt" strokeweight=".26669mm">
            <w10:wrap type="topAndBottom" anchorx="page"/>
          </v:line>
        </w:pict>
      </w:r>
    </w:p>
    <w:p w:rsidR="00637723" w:rsidRPr="0026280C" w:rsidRDefault="007301BE">
      <w:pPr>
        <w:spacing w:line="250" w:lineRule="exact"/>
        <w:ind w:left="118"/>
        <w:rPr>
          <w:rFonts w:ascii="Tahoma" w:hAnsi="Tahoma" w:cs="Tahoma"/>
          <w:b/>
          <w:sz w:val="20"/>
          <w:szCs w:val="20"/>
        </w:rPr>
      </w:pPr>
      <w:r w:rsidRPr="0026280C">
        <w:rPr>
          <w:rFonts w:ascii="Tahoma" w:hAnsi="Tahoma" w:cs="Tahoma"/>
          <w:b/>
          <w:sz w:val="20"/>
          <w:szCs w:val="20"/>
        </w:rPr>
        <w:t>Sur le moyen unique, pris en sa première branche :</w:t>
      </w:r>
    </w:p>
    <w:p w:rsidR="00637723" w:rsidRPr="0026280C" w:rsidRDefault="00637723">
      <w:pPr>
        <w:pStyle w:val="Corpsdetexte"/>
        <w:spacing w:before="5"/>
        <w:rPr>
          <w:rFonts w:ascii="Tahoma" w:hAnsi="Tahoma" w:cs="Tahoma"/>
          <w:b/>
          <w:sz w:val="20"/>
          <w:szCs w:val="20"/>
        </w:rPr>
      </w:pPr>
    </w:p>
    <w:p w:rsidR="00637723" w:rsidRPr="0026280C" w:rsidRDefault="007301BE">
      <w:pPr>
        <w:pStyle w:val="Corpsdetexte"/>
        <w:ind w:left="118"/>
        <w:rPr>
          <w:rFonts w:ascii="Tahoma" w:hAnsi="Tahoma" w:cs="Tahoma"/>
          <w:sz w:val="20"/>
          <w:szCs w:val="20"/>
        </w:rPr>
      </w:pPr>
      <w:r w:rsidRPr="0026280C">
        <w:rPr>
          <w:rFonts w:ascii="Tahoma" w:hAnsi="Tahoma" w:cs="Tahoma"/>
          <w:sz w:val="20"/>
          <w:szCs w:val="20"/>
        </w:rPr>
        <w:t>Vu l’article 1131 du Code civil</w:t>
      </w:r>
      <w:r w:rsidR="0026280C">
        <w:rPr>
          <w:rStyle w:val="Appelnotedebasdep"/>
          <w:rFonts w:ascii="Tahoma" w:hAnsi="Tahoma" w:cs="Tahoma"/>
          <w:sz w:val="20"/>
          <w:szCs w:val="20"/>
        </w:rPr>
        <w:footnoteReference w:id="1"/>
      </w:r>
      <w:r w:rsidRPr="0026280C">
        <w:rPr>
          <w:rFonts w:ascii="Tahoma" w:hAnsi="Tahoma" w:cs="Tahoma"/>
          <w:sz w:val="20"/>
          <w:szCs w:val="20"/>
        </w:rPr>
        <w:t xml:space="preserve"> ;</w:t>
      </w:r>
    </w:p>
    <w:p w:rsidR="00637723" w:rsidRPr="0026280C" w:rsidRDefault="007301BE">
      <w:pPr>
        <w:pStyle w:val="Corpsdetexte"/>
        <w:spacing w:before="120"/>
        <w:ind w:left="118" w:right="107"/>
        <w:jc w:val="both"/>
        <w:rPr>
          <w:rFonts w:ascii="Tahoma" w:hAnsi="Tahoma" w:cs="Tahoma"/>
          <w:sz w:val="20"/>
          <w:szCs w:val="20"/>
        </w:rPr>
      </w:pPr>
      <w:r w:rsidRPr="0026280C">
        <w:rPr>
          <w:rFonts w:ascii="Tahoma" w:hAnsi="Tahoma" w:cs="Tahoma"/>
          <w:sz w:val="20"/>
          <w:szCs w:val="20"/>
        </w:rPr>
        <w:t>Attendu, selon l’arrêt déféré, que deux montres, confiées par la société JMB International à la société Chronopost pour acheminement à Hong Kong, ont été perdues pendant ce transport ; que la société JMB International a contesté la clause de limitation de responsabilité que lui a opposée la société Chronopost ;</w:t>
      </w:r>
    </w:p>
    <w:p w:rsidR="00637723" w:rsidRPr="0026280C" w:rsidRDefault="007301BE">
      <w:pPr>
        <w:pStyle w:val="Corpsdetexte"/>
        <w:spacing w:before="120"/>
        <w:ind w:left="118" w:right="292"/>
        <w:jc w:val="both"/>
        <w:rPr>
          <w:rFonts w:ascii="Tahoma" w:hAnsi="Tahoma" w:cs="Tahoma"/>
          <w:sz w:val="20"/>
          <w:szCs w:val="20"/>
        </w:rPr>
      </w:pPr>
      <w:r w:rsidRPr="0026280C">
        <w:rPr>
          <w:rFonts w:ascii="Tahoma" w:hAnsi="Tahoma" w:cs="Tahoma"/>
          <w:sz w:val="20"/>
          <w:szCs w:val="20"/>
        </w:rPr>
        <w:t>Attendu que pour débouter la société JMB International de toutes ses demandes, l’arrêt retient que celle-ci, qui faisait valoir le grave manquement de la société Chronopost à son obligation essentielle d’acheminement du colis à elle confié, avait nécessairement admis, en déclarant accepter les conditions générales de la société Chronopost, le principe et les modalités d’une indemnisation limitée en cas de perte du colis transporté</w:t>
      </w:r>
      <w:r w:rsidR="0026280C">
        <w:rPr>
          <w:rFonts w:ascii="Tahoma" w:hAnsi="Tahoma" w:cs="Tahoma"/>
          <w:sz w:val="20"/>
          <w:szCs w:val="20"/>
        </w:rPr>
        <w:t xml:space="preserve"> </w:t>
      </w:r>
      <w:r w:rsidRPr="0026280C">
        <w:rPr>
          <w:rFonts w:ascii="Tahoma" w:hAnsi="Tahoma" w:cs="Tahoma"/>
          <w:sz w:val="20"/>
          <w:szCs w:val="20"/>
        </w:rPr>
        <w:t>;</w:t>
      </w:r>
    </w:p>
    <w:p w:rsidR="00637723" w:rsidRPr="0026280C" w:rsidRDefault="007301BE">
      <w:pPr>
        <w:pStyle w:val="Corpsdetexte"/>
        <w:spacing w:before="121"/>
        <w:ind w:left="118" w:right="290"/>
        <w:jc w:val="both"/>
        <w:rPr>
          <w:rFonts w:ascii="Tahoma" w:hAnsi="Tahoma" w:cs="Tahoma"/>
          <w:sz w:val="20"/>
          <w:szCs w:val="20"/>
        </w:rPr>
      </w:pPr>
      <w:r w:rsidRPr="0026280C">
        <w:rPr>
          <w:rFonts w:ascii="Tahoma" w:hAnsi="Tahoma" w:cs="Tahoma"/>
          <w:sz w:val="20"/>
          <w:szCs w:val="20"/>
        </w:rPr>
        <w:t>Attendu qu’en statuant ainsi, sans rechercher si la clause limitative d’indemnisation dont se prévalait la société Chronopost, qui n’était pas prévue par un contrat-type établi par décret, ne devait pas être réputée non écrite par l’effet d’un manquement du transporteur à une obligation essentielle du contrat, la cour d’appel n’a pas donné de base légale à sa décision ;</w:t>
      </w:r>
    </w:p>
    <w:p w:rsidR="00637723" w:rsidRPr="0026280C" w:rsidRDefault="00637723">
      <w:pPr>
        <w:pStyle w:val="Corpsdetexte"/>
        <w:rPr>
          <w:rFonts w:ascii="Tahoma" w:hAnsi="Tahoma" w:cs="Tahoma"/>
          <w:sz w:val="20"/>
          <w:szCs w:val="20"/>
        </w:rPr>
      </w:pPr>
    </w:p>
    <w:p w:rsidR="00637723" w:rsidRPr="0026280C" w:rsidRDefault="007301BE">
      <w:pPr>
        <w:spacing w:before="217"/>
        <w:ind w:left="118"/>
        <w:jc w:val="both"/>
        <w:rPr>
          <w:rFonts w:ascii="Tahoma" w:hAnsi="Tahoma" w:cs="Tahoma"/>
          <w:sz w:val="20"/>
          <w:szCs w:val="20"/>
        </w:rPr>
      </w:pPr>
      <w:r w:rsidRPr="0026280C">
        <w:rPr>
          <w:rFonts w:ascii="Tahoma" w:hAnsi="Tahoma" w:cs="Tahoma"/>
          <w:b/>
          <w:sz w:val="20"/>
          <w:szCs w:val="20"/>
        </w:rPr>
        <w:t xml:space="preserve">PAR CES MOTIFS, </w:t>
      </w:r>
      <w:r w:rsidRPr="0026280C">
        <w:rPr>
          <w:rFonts w:ascii="Tahoma" w:hAnsi="Tahoma" w:cs="Tahoma"/>
          <w:sz w:val="20"/>
          <w:szCs w:val="20"/>
        </w:rPr>
        <w:t>et sans qu’il y ait lieu de statuer sur les autres griefs :</w:t>
      </w:r>
    </w:p>
    <w:p w:rsidR="00637723" w:rsidRPr="0026280C" w:rsidRDefault="007301BE">
      <w:pPr>
        <w:pStyle w:val="Corpsdetexte"/>
        <w:spacing w:before="120"/>
        <w:ind w:left="118" w:right="1168"/>
        <w:rPr>
          <w:rFonts w:ascii="Tahoma" w:hAnsi="Tahoma" w:cs="Tahoma"/>
          <w:sz w:val="20"/>
          <w:szCs w:val="20"/>
        </w:rPr>
      </w:pPr>
      <w:r w:rsidRPr="0026280C">
        <w:rPr>
          <w:rFonts w:ascii="Tahoma" w:hAnsi="Tahoma" w:cs="Tahoma"/>
          <w:sz w:val="20"/>
          <w:szCs w:val="20"/>
        </w:rPr>
        <w:t>CASSE ET ANNULE, […/…] renvoie devant la cour d'appel de Paris, autrement composée ;</w:t>
      </w:r>
    </w:p>
    <w:p w:rsidR="00637723" w:rsidRPr="0026280C" w:rsidRDefault="00EB7847">
      <w:pPr>
        <w:pStyle w:val="Corpsdetext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group id="_x0000_s1027" style="position:absolute;margin-left:70.95pt;margin-top:12.9pt;width:467pt;height:.8pt;z-index:251657728;mso-wrap-distance-left:0;mso-wrap-distance-right:0;mso-position-horizontal-relative:page" coordorigin="1419,258" coordsize="9340,16">
            <v:line id="_x0000_s1029" style="position:absolute" from="1419,266" to="5820,266" strokeweight=".26669mm"/>
            <v:line id="_x0000_s1028" style="position:absolute" from="5826,266" to="10759,266" strokeweight=".26669mm"/>
            <w10:wrap type="topAndBottom" anchorx="page"/>
          </v:group>
        </w:pict>
      </w: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rPr>
          <w:sz w:val="20"/>
        </w:rPr>
      </w:pPr>
    </w:p>
    <w:p w:rsidR="00637723" w:rsidRDefault="00637723">
      <w:pPr>
        <w:pStyle w:val="Corpsdetexte"/>
        <w:spacing w:before="7"/>
      </w:pPr>
    </w:p>
    <w:sectPr w:rsidR="00637723">
      <w:pgSz w:w="11910" w:h="16840"/>
      <w:pgMar w:top="132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47" w:rsidRDefault="00EB7847" w:rsidP="0026280C">
      <w:r>
        <w:separator/>
      </w:r>
    </w:p>
  </w:endnote>
  <w:endnote w:type="continuationSeparator" w:id="0">
    <w:p w:rsidR="00EB7847" w:rsidRDefault="00EB7847" w:rsidP="0026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47" w:rsidRDefault="00EB7847" w:rsidP="0026280C">
      <w:r>
        <w:separator/>
      </w:r>
    </w:p>
  </w:footnote>
  <w:footnote w:type="continuationSeparator" w:id="0">
    <w:p w:rsidR="00EB7847" w:rsidRDefault="00EB7847" w:rsidP="0026280C">
      <w:r>
        <w:continuationSeparator/>
      </w:r>
    </w:p>
  </w:footnote>
  <w:footnote w:id="1">
    <w:p w:rsidR="0026280C" w:rsidRDefault="0026280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/>
        </w:rPr>
        <w:t xml:space="preserve">Article 1131 : </w:t>
      </w:r>
      <w:r>
        <w:t>« L'obligation sans cause, ou sur une fausse cause, ou sur une cause illicite, ne peut avoir aucun effet 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A5DA4"/>
    <w:multiLevelType w:val="hybridMultilevel"/>
    <w:tmpl w:val="4D449650"/>
    <w:lvl w:ilvl="0" w:tplc="E4563F3A">
      <w:start w:val="3"/>
      <w:numFmt w:val="decimal"/>
      <w:lvlText w:val="%1-"/>
      <w:lvlJc w:val="left"/>
      <w:pPr>
        <w:ind w:left="399" w:hanging="281"/>
        <w:jc w:val="left"/>
      </w:pPr>
      <w:rPr>
        <w:rFonts w:ascii="Tahoma" w:eastAsia="Arial" w:hAnsi="Tahoma" w:cs="Tahoma" w:hint="default"/>
        <w:w w:val="99"/>
        <w:sz w:val="20"/>
        <w:szCs w:val="20"/>
        <w:lang w:val="fr-FR" w:eastAsia="fr-FR" w:bidi="fr-FR"/>
      </w:rPr>
    </w:lvl>
    <w:lvl w:ilvl="1" w:tplc="ACBC33A8">
      <w:numFmt w:val="bullet"/>
      <w:lvlText w:val="•"/>
      <w:lvlJc w:val="left"/>
      <w:pPr>
        <w:ind w:left="1336" w:hanging="281"/>
      </w:pPr>
      <w:rPr>
        <w:rFonts w:hint="default"/>
        <w:lang w:val="fr-FR" w:eastAsia="fr-FR" w:bidi="fr-FR"/>
      </w:rPr>
    </w:lvl>
    <w:lvl w:ilvl="2" w:tplc="283A7CE8">
      <w:numFmt w:val="bullet"/>
      <w:lvlText w:val="•"/>
      <w:lvlJc w:val="left"/>
      <w:pPr>
        <w:ind w:left="2273" w:hanging="281"/>
      </w:pPr>
      <w:rPr>
        <w:rFonts w:hint="default"/>
        <w:lang w:val="fr-FR" w:eastAsia="fr-FR" w:bidi="fr-FR"/>
      </w:rPr>
    </w:lvl>
    <w:lvl w:ilvl="3" w:tplc="7700D344">
      <w:numFmt w:val="bullet"/>
      <w:lvlText w:val="•"/>
      <w:lvlJc w:val="left"/>
      <w:pPr>
        <w:ind w:left="3209" w:hanging="281"/>
      </w:pPr>
      <w:rPr>
        <w:rFonts w:hint="default"/>
        <w:lang w:val="fr-FR" w:eastAsia="fr-FR" w:bidi="fr-FR"/>
      </w:rPr>
    </w:lvl>
    <w:lvl w:ilvl="4" w:tplc="7214C3E0">
      <w:numFmt w:val="bullet"/>
      <w:lvlText w:val="•"/>
      <w:lvlJc w:val="left"/>
      <w:pPr>
        <w:ind w:left="4146" w:hanging="281"/>
      </w:pPr>
      <w:rPr>
        <w:rFonts w:hint="default"/>
        <w:lang w:val="fr-FR" w:eastAsia="fr-FR" w:bidi="fr-FR"/>
      </w:rPr>
    </w:lvl>
    <w:lvl w:ilvl="5" w:tplc="12D4A548">
      <w:numFmt w:val="bullet"/>
      <w:lvlText w:val="•"/>
      <w:lvlJc w:val="left"/>
      <w:pPr>
        <w:ind w:left="5083" w:hanging="281"/>
      </w:pPr>
      <w:rPr>
        <w:rFonts w:hint="default"/>
        <w:lang w:val="fr-FR" w:eastAsia="fr-FR" w:bidi="fr-FR"/>
      </w:rPr>
    </w:lvl>
    <w:lvl w:ilvl="6" w:tplc="5260C348">
      <w:numFmt w:val="bullet"/>
      <w:lvlText w:val="•"/>
      <w:lvlJc w:val="left"/>
      <w:pPr>
        <w:ind w:left="6019" w:hanging="281"/>
      </w:pPr>
      <w:rPr>
        <w:rFonts w:hint="default"/>
        <w:lang w:val="fr-FR" w:eastAsia="fr-FR" w:bidi="fr-FR"/>
      </w:rPr>
    </w:lvl>
    <w:lvl w:ilvl="7" w:tplc="21F2CA82">
      <w:numFmt w:val="bullet"/>
      <w:lvlText w:val="•"/>
      <w:lvlJc w:val="left"/>
      <w:pPr>
        <w:ind w:left="6956" w:hanging="281"/>
      </w:pPr>
      <w:rPr>
        <w:rFonts w:hint="default"/>
        <w:lang w:val="fr-FR" w:eastAsia="fr-FR" w:bidi="fr-FR"/>
      </w:rPr>
    </w:lvl>
    <w:lvl w:ilvl="8" w:tplc="7A7676B4">
      <w:numFmt w:val="bullet"/>
      <w:lvlText w:val="•"/>
      <w:lvlJc w:val="left"/>
      <w:pPr>
        <w:ind w:left="7893" w:hanging="281"/>
      </w:pPr>
      <w:rPr>
        <w:rFonts w:hint="default"/>
        <w:lang w:val="fr-FR" w:eastAsia="fr-FR" w:bidi="fr-FR"/>
      </w:rPr>
    </w:lvl>
  </w:abstractNum>
  <w:abstractNum w:abstractNumId="1" w15:restartNumberingAfterBreak="0">
    <w:nsid w:val="6CAC49FF"/>
    <w:multiLevelType w:val="hybridMultilevel"/>
    <w:tmpl w:val="945C0664"/>
    <w:lvl w:ilvl="0" w:tplc="84CA9F80">
      <w:start w:val="1"/>
      <w:numFmt w:val="decimal"/>
      <w:lvlText w:val="%1."/>
      <w:lvlJc w:val="left"/>
      <w:pPr>
        <w:ind w:left="478" w:hanging="360"/>
      </w:pPr>
      <w:rPr>
        <w:rFonts w:ascii="Tahoma" w:eastAsia="Arial" w:hAnsi="Tahoma" w:cs="Tahoma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23"/>
    <w:rsid w:val="0026280C"/>
    <w:rsid w:val="006326C2"/>
    <w:rsid w:val="00637723"/>
    <w:rsid w:val="007301BE"/>
    <w:rsid w:val="00CA3BDE"/>
    <w:rsid w:val="00E27FBD"/>
    <w:rsid w:val="00E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22FCF2"/>
  <w15:docId w15:val="{21EE370F-415F-4D75-804A-E177BB90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399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26280C"/>
    <w:pPr>
      <w:widowControl/>
      <w:pBdr>
        <w:bottom w:val="single" w:sz="8" w:space="4" w:color="4F81BD"/>
      </w:pBdr>
      <w:autoSpaceDE/>
      <w:autoSpaceDN/>
      <w:spacing w:before="120" w:after="300"/>
      <w:contextualSpacing/>
      <w:jc w:val="both"/>
    </w:pPr>
    <w:rPr>
      <w:rFonts w:ascii="Cambria" w:eastAsia="Times New Roman" w:hAnsi="Cambria" w:cs="Calibri"/>
      <w:color w:val="17365D"/>
      <w:spacing w:val="5"/>
      <w:kern w:val="28"/>
      <w:sz w:val="52"/>
      <w:szCs w:val="52"/>
      <w:lang w:bidi="ar-SA"/>
    </w:rPr>
  </w:style>
  <w:style w:type="character" w:customStyle="1" w:styleId="TitreCar">
    <w:name w:val="Titre Car"/>
    <w:basedOn w:val="Policepardfaut"/>
    <w:link w:val="Titre"/>
    <w:uiPriority w:val="10"/>
    <w:rsid w:val="0026280C"/>
    <w:rPr>
      <w:rFonts w:ascii="Cambria" w:eastAsia="Times New Roman" w:hAnsi="Cambria" w:cs="Calibri"/>
      <w:color w:val="17365D"/>
      <w:spacing w:val="5"/>
      <w:kern w:val="28"/>
      <w:sz w:val="52"/>
      <w:szCs w:val="5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28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280C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262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09F5-FB94-4809-93B4-E159F20B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www.stgcfe.fr - www.stmg.education</cp:lastModifiedBy>
  <cp:revision>4</cp:revision>
  <dcterms:created xsi:type="dcterms:W3CDTF">2018-03-03T06:48:00Z</dcterms:created>
  <dcterms:modified xsi:type="dcterms:W3CDTF">2018-03-03T08:32:00Z</dcterms:modified>
</cp:coreProperties>
</file>